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A1E8E" w14:textId="22FE1658" w:rsidR="00295B19" w:rsidRPr="00D26F80" w:rsidRDefault="001A740A" w:rsidP="00D26F80">
      <w:pPr>
        <w:spacing w:line="276" w:lineRule="auto"/>
        <w:jc w:val="center"/>
      </w:pPr>
      <w:r w:rsidRPr="00D26F80">
        <w:rPr>
          <w:noProof/>
          <w:lang w:eastAsia="sl-SI"/>
        </w:rPr>
        <w:drawing>
          <wp:inline distT="0" distB="0" distL="0" distR="0" wp14:anchorId="54E4DEED" wp14:editId="688CCE55">
            <wp:extent cx="1234583" cy="1133475"/>
            <wp:effectExtent l="0" t="0" r="3810" b="0"/>
            <wp:docPr id="5" name="Slika 4" descr="A blue and white logo&#10;&#10;Description automatically generated">
              <a:extLst xmlns:a="http://schemas.openxmlformats.org/drawingml/2006/main">
                <a:ext uri="{FF2B5EF4-FFF2-40B4-BE49-F238E27FC236}">
                  <a16:creationId xmlns:a16="http://schemas.microsoft.com/office/drawing/2014/main" id="{89D39F4E-2076-4DE2-8148-71C4838F1A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descr="A blue and white logo&#10;&#10;Description automatically generated">
                      <a:extLst>
                        <a:ext uri="{FF2B5EF4-FFF2-40B4-BE49-F238E27FC236}">
                          <a16:creationId xmlns:a16="http://schemas.microsoft.com/office/drawing/2014/main" id="{89D39F4E-2076-4DE2-8148-71C4838F1ACC}"/>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234583" cy="1133475"/>
                    </a:xfrm>
                    <a:prstGeom prst="rect">
                      <a:avLst/>
                    </a:prstGeom>
                  </pic:spPr>
                </pic:pic>
              </a:graphicData>
            </a:graphic>
          </wp:inline>
        </w:drawing>
      </w:r>
    </w:p>
    <w:p w14:paraId="7CA7BA19" w14:textId="44892637" w:rsidR="00D26F80" w:rsidRDefault="008C2336" w:rsidP="00D26F80">
      <w:pPr>
        <w:spacing w:line="276" w:lineRule="auto"/>
        <w:jc w:val="both"/>
        <w:rPr>
          <w:b/>
          <w:bCs/>
        </w:rPr>
      </w:pPr>
      <w:r>
        <w:rPr>
          <w:b/>
          <w:bCs/>
        </w:rPr>
        <w:t xml:space="preserve">GRADIVO ZA MEDIJE </w:t>
      </w:r>
    </w:p>
    <w:p w14:paraId="5E1FB73D" w14:textId="77777777" w:rsidR="008C2336" w:rsidRDefault="008C2336" w:rsidP="00D26F80">
      <w:pPr>
        <w:spacing w:line="276" w:lineRule="auto"/>
        <w:jc w:val="both"/>
        <w:rPr>
          <w:b/>
          <w:bCs/>
        </w:rPr>
      </w:pPr>
    </w:p>
    <w:p w14:paraId="294951BB" w14:textId="6D8374A0" w:rsidR="001A740A" w:rsidRPr="00D26F80" w:rsidRDefault="001A740A" w:rsidP="00D26F80">
      <w:pPr>
        <w:spacing w:line="276" w:lineRule="auto"/>
        <w:jc w:val="both"/>
        <w:rPr>
          <w:b/>
          <w:bCs/>
          <w:sz w:val="24"/>
          <w:szCs w:val="24"/>
        </w:rPr>
      </w:pPr>
      <w:r w:rsidRPr="00D26F80">
        <w:rPr>
          <w:b/>
          <w:bCs/>
          <w:sz w:val="24"/>
          <w:szCs w:val="24"/>
        </w:rPr>
        <w:t>Posledice uveljavitve Energetskega zakona–2 za gospodinjske odjemalce zemeljskega plina, pravno mnenje Inštituta za javno upravo pri Pravni fakulteti v Ljubljani o vprašanjih ustavnosti, osmega, devetega in desetega odstavka 22. člena predloga Energetskega zakona-2, potencial slovenskih kmetijskih zemljišč za proizvodnjo obnovljivih plinov</w:t>
      </w:r>
    </w:p>
    <w:p w14:paraId="041F1DBE" w14:textId="0217674A" w:rsidR="001A740A" w:rsidRDefault="001A740A" w:rsidP="00D26F80">
      <w:pPr>
        <w:spacing w:line="276" w:lineRule="auto"/>
        <w:jc w:val="both"/>
        <w:rPr>
          <w:b/>
          <w:bCs/>
        </w:rPr>
      </w:pPr>
    </w:p>
    <w:p w14:paraId="71DC3355" w14:textId="77777777" w:rsidR="0062505A" w:rsidRPr="00480513" w:rsidRDefault="0062505A" w:rsidP="0062505A">
      <w:pPr>
        <w:spacing w:line="276" w:lineRule="auto"/>
        <w:jc w:val="both"/>
        <w:rPr>
          <w:rFonts w:ascii="Calibri" w:hAnsi="Calibri" w:cs="Calibri"/>
          <w:b/>
          <w:bCs/>
        </w:rPr>
      </w:pPr>
    </w:p>
    <w:p w14:paraId="27AA47C1" w14:textId="77777777" w:rsidR="0062505A" w:rsidRPr="00480513" w:rsidRDefault="0062505A" w:rsidP="0062505A">
      <w:pPr>
        <w:pStyle w:val="ListParagraph"/>
        <w:numPr>
          <w:ilvl w:val="0"/>
          <w:numId w:val="8"/>
        </w:numPr>
        <w:spacing w:line="276" w:lineRule="auto"/>
        <w:jc w:val="both"/>
        <w:rPr>
          <w:rFonts w:ascii="Calibri" w:hAnsi="Calibri" w:cs="Calibri"/>
          <w:b/>
          <w:bCs/>
          <w:sz w:val="24"/>
          <w:szCs w:val="24"/>
        </w:rPr>
      </w:pPr>
      <w:r w:rsidRPr="00480513">
        <w:rPr>
          <w:rFonts w:ascii="Calibri" w:hAnsi="Calibri" w:cs="Calibri"/>
          <w:b/>
          <w:bCs/>
          <w:sz w:val="24"/>
          <w:szCs w:val="24"/>
        </w:rPr>
        <w:t>Posledice uveljavitve Energetskega zakona–2 (EZ-2) za gospodinjske odjemalce zemeljskega plina</w:t>
      </w:r>
    </w:p>
    <w:p w14:paraId="4A8F84F7" w14:textId="77777777" w:rsidR="0062505A" w:rsidRPr="00480513" w:rsidRDefault="0062505A" w:rsidP="0062505A">
      <w:pPr>
        <w:spacing w:line="276" w:lineRule="auto"/>
        <w:jc w:val="both"/>
        <w:rPr>
          <w:rFonts w:ascii="Calibri" w:hAnsi="Calibri" w:cs="Calibri"/>
          <w:b/>
          <w:bCs/>
        </w:rPr>
      </w:pPr>
    </w:p>
    <w:p w14:paraId="7EECC700" w14:textId="77777777" w:rsidR="0062505A" w:rsidRPr="00480513" w:rsidRDefault="0062505A" w:rsidP="0062505A">
      <w:pPr>
        <w:spacing w:line="276" w:lineRule="auto"/>
        <w:jc w:val="both"/>
        <w:rPr>
          <w:rFonts w:ascii="Calibri" w:hAnsi="Calibri" w:cs="Calibri"/>
          <w:b/>
          <w:bCs/>
        </w:rPr>
      </w:pPr>
      <w:r w:rsidRPr="00480513">
        <w:rPr>
          <w:rFonts w:ascii="Calibri" w:hAnsi="Calibri" w:cs="Calibri"/>
          <w:b/>
          <w:bCs/>
        </w:rPr>
        <w:t>Kontradiktornost prepovedi vgradnje kondenzacijskih kotlov v stanovanjske novogradnje ob povečani uporabi plina v plinskih elektrarnah in poslovnih objektih</w:t>
      </w:r>
    </w:p>
    <w:p w14:paraId="5C9B51F2" w14:textId="77777777" w:rsidR="0062505A" w:rsidRPr="00480513" w:rsidRDefault="0062505A" w:rsidP="0062505A">
      <w:pPr>
        <w:spacing w:line="276" w:lineRule="auto"/>
        <w:jc w:val="both"/>
        <w:rPr>
          <w:rFonts w:ascii="Calibri" w:hAnsi="Calibri" w:cs="Calibri"/>
        </w:rPr>
      </w:pPr>
      <w:bookmarkStart w:id="0" w:name="_Hlk163567712"/>
      <w:r w:rsidRPr="00480513">
        <w:rPr>
          <w:rFonts w:ascii="Calibri" w:hAnsi="Calibri" w:cs="Calibri"/>
        </w:rPr>
        <w:t>EZ-2 uveljavlja prepoved vgradnje plinskih kondenzacijskih kotlov v novogradnjah stanovanjskih objektov. Gre za izrazito selektivni ukrep v škodo gospodinjstev, saj bo uporaba plina še naprej dovoljena v novogradnjah, namenjenih poslovni dejavnosti in v novozgrajenih plinskih elektrarnah.</w:t>
      </w:r>
    </w:p>
    <w:p w14:paraId="4DA38FFF" w14:textId="77777777" w:rsidR="0062505A" w:rsidRPr="00480513" w:rsidRDefault="0062505A" w:rsidP="0062505A">
      <w:pPr>
        <w:spacing w:line="276" w:lineRule="auto"/>
        <w:jc w:val="both"/>
        <w:rPr>
          <w:rFonts w:ascii="Calibri" w:hAnsi="Calibri" w:cs="Calibri"/>
          <w:b/>
          <w:bCs/>
        </w:rPr>
      </w:pPr>
      <w:r w:rsidRPr="00480513">
        <w:rPr>
          <w:rFonts w:ascii="Calibri" w:hAnsi="Calibri" w:cs="Calibri"/>
        </w:rPr>
        <w:t xml:space="preserve">Temeljni argument Ministrstva za okolje, podnebje in energijo (MOPE) zakaj prepoveduje uporabo plina v novogradnjah stanovanjskih objektov je, </w:t>
      </w:r>
      <w:r w:rsidRPr="00480513">
        <w:rPr>
          <w:rFonts w:ascii="Calibri" w:hAnsi="Calibri" w:cs="Calibri"/>
          <w:b/>
          <w:bCs/>
        </w:rPr>
        <w:t xml:space="preserve">da želijo s tem ukrepom zmanjšati uporabo zemeljskega plina.  </w:t>
      </w:r>
    </w:p>
    <w:bookmarkEnd w:id="0"/>
    <w:p w14:paraId="16D816BC" w14:textId="77777777" w:rsidR="0062505A" w:rsidRPr="00480513" w:rsidRDefault="0062505A" w:rsidP="0062505A">
      <w:pPr>
        <w:pStyle w:val="NormalWeb"/>
        <w:spacing w:before="0" w:beforeAutospacing="0" w:after="168" w:afterAutospacing="0" w:line="276" w:lineRule="auto"/>
        <w:jc w:val="both"/>
        <w:rPr>
          <w:rFonts w:ascii="Calibri" w:hAnsi="Calibri" w:cs="Calibri"/>
          <w:color w:val="111111"/>
          <w:sz w:val="22"/>
          <w:szCs w:val="22"/>
        </w:rPr>
      </w:pPr>
      <w:r w:rsidRPr="00480513">
        <w:rPr>
          <w:rFonts w:ascii="Calibri" w:hAnsi="Calibri" w:cs="Calibri"/>
          <w:color w:val="111111"/>
          <w:sz w:val="22"/>
          <w:szCs w:val="22"/>
        </w:rPr>
        <w:t>Poraba plina v Sloveniji je v letu 2023 znašala 8.800 GWh. Družba Plinovodi v Desetletnem razvojnemu načrtu prenosnega plinovodnega omrežja za obdobje 2024-2033 pa ocenjuje, da bo poraba plina v letu 2024 znašala 10.120 GWh in se nato še vsako leto do leta 2033 še povečevala.</w:t>
      </w:r>
    </w:p>
    <w:p w14:paraId="7AECEFC1" w14:textId="77777777" w:rsidR="0062505A" w:rsidRPr="00480513" w:rsidRDefault="0062505A" w:rsidP="0062505A">
      <w:pPr>
        <w:pStyle w:val="NormalWeb"/>
        <w:spacing w:before="0" w:beforeAutospacing="0" w:after="168" w:afterAutospacing="0" w:line="276" w:lineRule="auto"/>
        <w:jc w:val="both"/>
        <w:rPr>
          <w:rFonts w:ascii="Calibri" w:hAnsi="Calibri" w:cs="Calibri"/>
          <w:color w:val="111111"/>
          <w:sz w:val="22"/>
          <w:szCs w:val="22"/>
        </w:rPr>
      </w:pPr>
      <w:r w:rsidRPr="00480513">
        <w:rPr>
          <w:rFonts w:ascii="Calibri" w:hAnsi="Calibri" w:cs="Calibri"/>
          <w:color w:val="111111"/>
          <w:sz w:val="22"/>
          <w:szCs w:val="22"/>
        </w:rPr>
        <w:t xml:space="preserve">Trenutno so na razpolago podatki za mesec januar in februar letošnjega leta. V primerjavi z lanskima mesecema (januar, februar) je poraba v prvih dveh mesecih višja za 6,3 % oziroma 125 GWh dodatnega plina. Pri tem pa je treba upoštevati, da še ni začela redno obratovati nova plinsko-parna enota v Ljubljani. Predvidena letna poraba tega energetskega objekta znaša  1.560 GWh. </w:t>
      </w:r>
    </w:p>
    <w:p w14:paraId="6EB6A790" w14:textId="77777777" w:rsidR="0062505A" w:rsidRPr="00480513" w:rsidRDefault="0062505A" w:rsidP="0062505A">
      <w:pPr>
        <w:pStyle w:val="NormalWeb"/>
        <w:spacing w:before="0" w:beforeAutospacing="0" w:after="168" w:afterAutospacing="0" w:line="276" w:lineRule="auto"/>
        <w:jc w:val="both"/>
        <w:rPr>
          <w:rFonts w:ascii="Calibri" w:hAnsi="Calibri" w:cs="Calibri"/>
          <w:color w:val="111111"/>
          <w:sz w:val="22"/>
          <w:szCs w:val="22"/>
        </w:rPr>
      </w:pPr>
      <w:bookmarkStart w:id="1" w:name="_Hlk163567785"/>
      <w:r w:rsidRPr="00480513">
        <w:rPr>
          <w:rFonts w:ascii="Calibri" w:hAnsi="Calibri" w:cs="Calibri"/>
          <w:b/>
          <w:bCs/>
          <w:color w:val="111111"/>
          <w:sz w:val="22"/>
          <w:szCs w:val="22"/>
        </w:rPr>
        <w:t xml:space="preserve">Poraba plina se torej ne bo znižala, ampak precej povečala </w:t>
      </w:r>
      <w:r w:rsidRPr="00480513">
        <w:rPr>
          <w:rFonts w:ascii="Calibri" w:hAnsi="Calibri" w:cs="Calibri"/>
          <w:bCs/>
          <w:color w:val="111111"/>
          <w:sz w:val="22"/>
          <w:szCs w:val="22"/>
        </w:rPr>
        <w:t>(že v letu 2024 oziroma 2025)</w:t>
      </w:r>
      <w:r w:rsidRPr="00480513">
        <w:rPr>
          <w:rFonts w:ascii="Calibri" w:hAnsi="Calibri" w:cs="Calibri"/>
          <w:b/>
          <w:bCs/>
          <w:color w:val="111111"/>
          <w:sz w:val="22"/>
          <w:szCs w:val="22"/>
        </w:rPr>
        <w:t xml:space="preserve"> in to za vsaj 20% </w:t>
      </w:r>
      <w:r w:rsidRPr="00480513">
        <w:rPr>
          <w:rFonts w:ascii="Calibri" w:hAnsi="Calibri" w:cs="Calibri"/>
          <w:bCs/>
          <w:color w:val="111111"/>
          <w:sz w:val="22"/>
          <w:szCs w:val="22"/>
        </w:rPr>
        <w:t>(napram letu 2023)</w:t>
      </w:r>
      <w:r w:rsidRPr="00480513">
        <w:rPr>
          <w:rFonts w:ascii="Calibri" w:hAnsi="Calibri" w:cs="Calibri"/>
          <w:b/>
          <w:bCs/>
          <w:color w:val="111111"/>
          <w:sz w:val="22"/>
          <w:szCs w:val="22"/>
        </w:rPr>
        <w:t xml:space="preserve">, </w:t>
      </w:r>
      <w:r w:rsidRPr="00480513">
        <w:rPr>
          <w:rFonts w:ascii="Calibri" w:hAnsi="Calibri" w:cs="Calibri"/>
          <w:color w:val="111111"/>
          <w:sz w:val="22"/>
          <w:szCs w:val="22"/>
        </w:rPr>
        <w:t>ob čemer še ni upoštevana povečana poraba, če bi Slovenija zgradila dodatne plinske elektrarne, ki jih bo potrebovala za zagotovitev dodatne električne energije.</w:t>
      </w:r>
    </w:p>
    <w:bookmarkEnd w:id="1"/>
    <w:p w14:paraId="7047213E" w14:textId="77777777" w:rsidR="0062505A" w:rsidRPr="00480513" w:rsidRDefault="0062505A" w:rsidP="0062505A">
      <w:pPr>
        <w:pStyle w:val="NormalWeb"/>
        <w:spacing w:before="0" w:beforeAutospacing="0" w:after="168" w:afterAutospacing="0" w:line="276" w:lineRule="auto"/>
        <w:jc w:val="both"/>
        <w:rPr>
          <w:rFonts w:ascii="Calibri" w:hAnsi="Calibri" w:cs="Calibri"/>
          <w:b/>
          <w:bCs/>
          <w:color w:val="111111"/>
          <w:sz w:val="22"/>
          <w:szCs w:val="22"/>
        </w:rPr>
      </w:pPr>
      <w:r w:rsidRPr="00480513">
        <w:rPr>
          <w:rFonts w:ascii="Calibri" w:hAnsi="Calibri" w:cs="Calibri"/>
          <w:color w:val="111111"/>
          <w:sz w:val="22"/>
          <w:szCs w:val="22"/>
        </w:rPr>
        <w:lastRenderedPageBreak/>
        <w:t xml:space="preserve">Glede na pretekle podatke o izgrajenih površinah stanovanjskih novogradenj ocenjujemo, da bi znašala poraba plina v novozgrajenih stanovanjskih stavbah v enem letu do 0,05 % (4,5 GWh)  slovenske porabe plina ob že omenjenem 20% povišanju porabe plina na nivoju Slovenije. Kar potrjujejo nesmiselnost takih določb in dejstva, </w:t>
      </w:r>
      <w:r w:rsidRPr="00480513">
        <w:rPr>
          <w:rFonts w:ascii="Calibri" w:hAnsi="Calibri" w:cs="Calibri"/>
          <w:b/>
          <w:bCs/>
          <w:color w:val="111111"/>
          <w:sz w:val="22"/>
          <w:szCs w:val="22"/>
        </w:rPr>
        <w:t>da EZ-2 selektivno omejuje porabo plina, ko prepoveduje uporabo plinskih kotlov v stanovanjskih novogradnjah, med tem ko se bo na drugih področjih poraba plina občutno povečala. Zgrajena naj bi bila tudi dvosmerna povezava z Madžarsko z letno kapaciteto 5.060 GWh, kar pomeni, da Slovenija načrtuje dodatna plinovodna omrežje, ki pa ne bodo koristila slovenskim gospodinjskim odjemalcem.</w:t>
      </w:r>
    </w:p>
    <w:p w14:paraId="73D330F2" w14:textId="77777777" w:rsidR="0062505A" w:rsidRPr="00480513" w:rsidRDefault="0062505A" w:rsidP="0062505A">
      <w:pPr>
        <w:pStyle w:val="NormalWeb"/>
        <w:spacing w:before="0" w:beforeAutospacing="0" w:after="168" w:afterAutospacing="0" w:line="276" w:lineRule="auto"/>
        <w:jc w:val="both"/>
        <w:rPr>
          <w:rFonts w:ascii="Calibri" w:hAnsi="Calibri" w:cs="Calibri"/>
          <w:color w:val="111111"/>
          <w:sz w:val="22"/>
          <w:szCs w:val="22"/>
        </w:rPr>
      </w:pPr>
      <w:bookmarkStart w:id="2" w:name="_Hlk163567865"/>
      <w:r w:rsidRPr="00480513">
        <w:rPr>
          <w:rFonts w:ascii="Calibri" w:hAnsi="Calibri" w:cs="Calibri"/>
          <w:color w:val="111111"/>
          <w:sz w:val="22"/>
          <w:szCs w:val="22"/>
        </w:rPr>
        <w:t>Določbe EZ-2 so izrazito nepoštene do gospodinjskih odjemalcev plina, saj naj bi jim prepovedovale uporabo plina (konkurenčen vir) v novogradnjah, država pa bi manjkajočo električno energijo za te odjemalce pridobila iz plinskih elektrarn. Pri tem gre za prepoved uporabe tako fosilnega plina (zemeljski plin) kot plinov obnovljivega izvora (</w:t>
      </w:r>
      <w:proofErr w:type="spellStart"/>
      <w:r w:rsidRPr="00480513">
        <w:rPr>
          <w:rFonts w:ascii="Calibri" w:hAnsi="Calibri" w:cs="Calibri"/>
          <w:color w:val="111111"/>
          <w:sz w:val="22"/>
          <w:szCs w:val="22"/>
        </w:rPr>
        <w:t>biometan</w:t>
      </w:r>
      <w:proofErr w:type="spellEnd"/>
      <w:r w:rsidRPr="00480513">
        <w:rPr>
          <w:rFonts w:ascii="Calibri" w:hAnsi="Calibri" w:cs="Calibri"/>
          <w:color w:val="111111"/>
          <w:sz w:val="22"/>
          <w:szCs w:val="22"/>
        </w:rPr>
        <w:t xml:space="preserve">). </w:t>
      </w:r>
      <w:r w:rsidRPr="00480513">
        <w:rPr>
          <w:rFonts w:ascii="Calibri" w:hAnsi="Calibri" w:cs="Calibri"/>
          <w:b/>
          <w:color w:val="111111"/>
          <w:sz w:val="22"/>
          <w:szCs w:val="22"/>
        </w:rPr>
        <w:t>Gospodinjstva tako ne bodo smela koristiti obnovljivih virov energije v obliki plina</w:t>
      </w:r>
      <w:r w:rsidRPr="00480513">
        <w:rPr>
          <w:rFonts w:ascii="Calibri" w:hAnsi="Calibri" w:cs="Calibri"/>
          <w:color w:val="111111"/>
          <w:sz w:val="22"/>
          <w:szCs w:val="22"/>
        </w:rPr>
        <w:t>.</w:t>
      </w:r>
    </w:p>
    <w:bookmarkEnd w:id="2"/>
    <w:p w14:paraId="0809A3A3" w14:textId="77777777" w:rsidR="0062505A" w:rsidRPr="00480513" w:rsidRDefault="0062505A" w:rsidP="0062505A">
      <w:pPr>
        <w:pStyle w:val="NormalWeb"/>
        <w:spacing w:before="0" w:beforeAutospacing="0" w:after="168" w:afterAutospacing="0" w:line="276" w:lineRule="auto"/>
        <w:jc w:val="both"/>
        <w:rPr>
          <w:rFonts w:ascii="Calibri" w:hAnsi="Calibri" w:cs="Calibri"/>
          <w:b/>
          <w:bCs/>
          <w:sz w:val="22"/>
          <w:szCs w:val="22"/>
        </w:rPr>
      </w:pPr>
    </w:p>
    <w:p w14:paraId="74D75118" w14:textId="77777777" w:rsidR="0062505A" w:rsidRPr="00480513" w:rsidRDefault="0062505A" w:rsidP="0062505A">
      <w:pPr>
        <w:pStyle w:val="ListParagraph"/>
        <w:numPr>
          <w:ilvl w:val="1"/>
          <w:numId w:val="8"/>
        </w:numPr>
        <w:spacing w:line="276" w:lineRule="auto"/>
        <w:jc w:val="both"/>
        <w:rPr>
          <w:rFonts w:ascii="Calibri" w:hAnsi="Calibri" w:cs="Calibri"/>
          <w:b/>
          <w:bCs/>
        </w:rPr>
      </w:pPr>
      <w:bookmarkStart w:id="3" w:name="_Hlk163567943"/>
      <w:r w:rsidRPr="00480513">
        <w:rPr>
          <w:rFonts w:ascii="Calibri" w:hAnsi="Calibri" w:cs="Calibri"/>
          <w:b/>
          <w:bCs/>
        </w:rPr>
        <w:t xml:space="preserve">EZ-2 s toplotnimi črpalkami, ki naj bi zamenjale kondenzacijske kotle, slovenskim gospodinjstvom zvišuje ceno ogrevanja </w:t>
      </w:r>
    </w:p>
    <w:bookmarkEnd w:id="3"/>
    <w:p w14:paraId="034EFE5B" w14:textId="77777777" w:rsidR="0062505A" w:rsidRPr="00480513" w:rsidRDefault="0062505A" w:rsidP="0062505A">
      <w:pPr>
        <w:spacing w:line="276" w:lineRule="auto"/>
        <w:jc w:val="both"/>
        <w:rPr>
          <w:rFonts w:ascii="Calibri" w:hAnsi="Calibri" w:cs="Calibri"/>
        </w:rPr>
      </w:pPr>
      <w:r w:rsidRPr="00480513">
        <w:rPr>
          <w:rFonts w:ascii="Calibri" w:hAnsi="Calibri" w:cs="Calibri"/>
        </w:rPr>
        <w:t>Plinski kotel je majhen in poceni. Za stanovanjsko hišo je cena približno 5.000 EUR, kar je še enkrat manj od toplotnih črpalk, katerih cena znaša 10.000 EUR</w:t>
      </w:r>
      <w:r>
        <w:rPr>
          <w:rFonts w:ascii="Calibri" w:hAnsi="Calibri" w:cs="Calibri"/>
        </w:rPr>
        <w:t>.</w:t>
      </w:r>
      <w:r w:rsidRPr="00480513">
        <w:rPr>
          <w:rFonts w:ascii="Calibri" w:hAnsi="Calibri" w:cs="Calibri"/>
        </w:rPr>
        <w:t xml:space="preserve"> </w:t>
      </w:r>
    </w:p>
    <w:p w14:paraId="0880AD9F" w14:textId="77777777" w:rsidR="0062505A" w:rsidRPr="00480513" w:rsidRDefault="0062505A" w:rsidP="0062505A">
      <w:pPr>
        <w:spacing w:line="276" w:lineRule="auto"/>
        <w:jc w:val="both"/>
        <w:rPr>
          <w:rFonts w:ascii="Calibri" w:hAnsi="Calibri" w:cs="Calibri"/>
        </w:rPr>
      </w:pPr>
      <w:r w:rsidRPr="00480513">
        <w:rPr>
          <w:rFonts w:ascii="Calibri" w:hAnsi="Calibri" w:cs="Calibri"/>
        </w:rPr>
        <w:t>Današnje novogradnje za potrebe ogrevanja porabijo zelo malo energije (nekateri jih imenujejo skoraj nič energijske). Posledično je tudi strošek za energijo zelo nizek. Ocenjujemo, da ta strošek pri plinu znaša približno 400 EUR na leto. V nadaljevanju so prikazani stroški gospodinjstva po letih, ki se odloči za nakup plinskega kotla (stroški nakupa in stroški za energijo).</w:t>
      </w:r>
    </w:p>
    <w:p w14:paraId="4B9167F5" w14:textId="77777777" w:rsidR="0062505A" w:rsidRPr="00480513" w:rsidRDefault="0062505A" w:rsidP="0062505A">
      <w:pPr>
        <w:spacing w:line="276" w:lineRule="auto"/>
        <w:jc w:val="both"/>
        <w:rPr>
          <w:rFonts w:ascii="Calibri" w:hAnsi="Calibri" w:cs="Calibri"/>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2962"/>
        <w:gridCol w:w="6034"/>
      </w:tblGrid>
      <w:tr w:rsidR="0062505A" w:rsidRPr="00480513" w14:paraId="15D624ED" w14:textId="77777777" w:rsidTr="003D29BA">
        <w:tc>
          <w:tcPr>
            <w:tcW w:w="2962" w:type="dxa"/>
            <w:tcBorders>
              <w:top w:val="single" w:sz="12" w:space="0" w:color="auto"/>
              <w:bottom w:val="single" w:sz="12" w:space="0" w:color="auto"/>
            </w:tcBorders>
          </w:tcPr>
          <w:p w14:paraId="244DFF82" w14:textId="77777777" w:rsidR="0062505A" w:rsidRPr="00480513" w:rsidRDefault="0062505A" w:rsidP="003D29BA">
            <w:pPr>
              <w:spacing w:line="276" w:lineRule="auto"/>
              <w:jc w:val="center"/>
              <w:rPr>
                <w:rFonts w:ascii="Calibri" w:hAnsi="Calibri" w:cs="Calibri"/>
                <w:b/>
                <w:bCs/>
              </w:rPr>
            </w:pPr>
            <w:r w:rsidRPr="00480513">
              <w:rPr>
                <w:rFonts w:ascii="Calibri" w:hAnsi="Calibri" w:cs="Calibri"/>
                <w:b/>
                <w:bCs/>
              </w:rPr>
              <w:t>Leto</w:t>
            </w:r>
          </w:p>
        </w:tc>
        <w:tc>
          <w:tcPr>
            <w:tcW w:w="6034" w:type="dxa"/>
            <w:tcBorders>
              <w:top w:val="single" w:sz="12" w:space="0" w:color="auto"/>
              <w:bottom w:val="single" w:sz="12" w:space="0" w:color="auto"/>
            </w:tcBorders>
          </w:tcPr>
          <w:p w14:paraId="5F4FDCCA" w14:textId="77777777" w:rsidR="0062505A" w:rsidRPr="00480513" w:rsidRDefault="0062505A" w:rsidP="003D29BA">
            <w:pPr>
              <w:spacing w:line="276" w:lineRule="auto"/>
              <w:jc w:val="center"/>
              <w:rPr>
                <w:rFonts w:ascii="Calibri" w:hAnsi="Calibri" w:cs="Calibri"/>
                <w:b/>
                <w:bCs/>
              </w:rPr>
            </w:pPr>
            <w:r w:rsidRPr="00480513">
              <w:rPr>
                <w:rFonts w:ascii="Calibri" w:hAnsi="Calibri" w:cs="Calibri"/>
                <w:b/>
                <w:bCs/>
              </w:rPr>
              <w:t xml:space="preserve">Strošek nakupa kotla in energije v EUR </w:t>
            </w:r>
          </w:p>
        </w:tc>
      </w:tr>
      <w:tr w:rsidR="0062505A" w:rsidRPr="00480513" w14:paraId="535A7143" w14:textId="77777777" w:rsidTr="003D29BA">
        <w:tc>
          <w:tcPr>
            <w:tcW w:w="2962" w:type="dxa"/>
            <w:tcBorders>
              <w:top w:val="single" w:sz="12" w:space="0" w:color="auto"/>
            </w:tcBorders>
          </w:tcPr>
          <w:p w14:paraId="53534F05" w14:textId="77777777" w:rsidR="0062505A" w:rsidRPr="00480513" w:rsidRDefault="0062505A" w:rsidP="003D29BA">
            <w:pPr>
              <w:jc w:val="center"/>
              <w:rPr>
                <w:rFonts w:ascii="Calibri" w:hAnsi="Calibri" w:cs="Calibri"/>
              </w:rPr>
            </w:pPr>
            <w:r w:rsidRPr="00480513">
              <w:rPr>
                <w:rFonts w:ascii="Calibri" w:hAnsi="Calibri" w:cs="Calibri"/>
              </w:rPr>
              <w:t>1.</w:t>
            </w:r>
          </w:p>
        </w:tc>
        <w:tc>
          <w:tcPr>
            <w:tcW w:w="6034" w:type="dxa"/>
            <w:tcBorders>
              <w:top w:val="single" w:sz="12" w:space="0" w:color="auto"/>
            </w:tcBorders>
          </w:tcPr>
          <w:p w14:paraId="3E0B5220" w14:textId="77777777" w:rsidR="0062505A" w:rsidRPr="00480513" w:rsidRDefault="0062505A" w:rsidP="003D29BA">
            <w:pPr>
              <w:spacing w:line="276" w:lineRule="auto"/>
              <w:jc w:val="center"/>
              <w:rPr>
                <w:rFonts w:ascii="Calibri" w:hAnsi="Calibri" w:cs="Calibri"/>
              </w:rPr>
            </w:pPr>
            <w:r w:rsidRPr="00480513">
              <w:rPr>
                <w:rFonts w:ascii="Calibri" w:hAnsi="Calibri" w:cs="Calibri"/>
              </w:rPr>
              <w:t xml:space="preserve">5.000 + 400 = 5.400 </w:t>
            </w:r>
          </w:p>
        </w:tc>
      </w:tr>
      <w:tr w:rsidR="0062505A" w:rsidRPr="00480513" w14:paraId="6042E5CA" w14:textId="77777777" w:rsidTr="003D29BA">
        <w:tc>
          <w:tcPr>
            <w:tcW w:w="2962" w:type="dxa"/>
          </w:tcPr>
          <w:p w14:paraId="4FB7F6CC" w14:textId="77777777" w:rsidR="0062505A" w:rsidRPr="00480513" w:rsidRDefault="0062505A" w:rsidP="003D29BA">
            <w:pPr>
              <w:spacing w:line="276" w:lineRule="auto"/>
              <w:jc w:val="center"/>
              <w:rPr>
                <w:rFonts w:ascii="Calibri" w:hAnsi="Calibri" w:cs="Calibri"/>
              </w:rPr>
            </w:pPr>
            <w:r w:rsidRPr="00480513">
              <w:rPr>
                <w:rFonts w:ascii="Calibri" w:hAnsi="Calibri" w:cs="Calibri"/>
              </w:rPr>
              <w:t>2.</w:t>
            </w:r>
          </w:p>
        </w:tc>
        <w:tc>
          <w:tcPr>
            <w:tcW w:w="6034" w:type="dxa"/>
          </w:tcPr>
          <w:p w14:paraId="5F83D9AF" w14:textId="77777777" w:rsidR="0062505A" w:rsidRPr="00480513" w:rsidRDefault="0062505A" w:rsidP="003D29BA">
            <w:pPr>
              <w:spacing w:line="276" w:lineRule="auto"/>
              <w:jc w:val="center"/>
              <w:rPr>
                <w:rFonts w:ascii="Calibri" w:hAnsi="Calibri" w:cs="Calibri"/>
              </w:rPr>
            </w:pPr>
            <w:r w:rsidRPr="00480513">
              <w:rPr>
                <w:rFonts w:ascii="Calibri" w:hAnsi="Calibri" w:cs="Calibri"/>
              </w:rPr>
              <w:t xml:space="preserve">+400 = 5. 800 </w:t>
            </w:r>
          </w:p>
        </w:tc>
      </w:tr>
      <w:tr w:rsidR="0062505A" w:rsidRPr="00480513" w14:paraId="10FD9E94" w14:textId="77777777" w:rsidTr="003D29BA">
        <w:tc>
          <w:tcPr>
            <w:tcW w:w="2962" w:type="dxa"/>
          </w:tcPr>
          <w:p w14:paraId="017660B6" w14:textId="77777777" w:rsidR="0062505A" w:rsidRPr="00480513" w:rsidRDefault="0062505A" w:rsidP="003D29BA">
            <w:pPr>
              <w:spacing w:line="276" w:lineRule="auto"/>
              <w:jc w:val="center"/>
              <w:rPr>
                <w:rFonts w:ascii="Calibri" w:hAnsi="Calibri" w:cs="Calibri"/>
              </w:rPr>
            </w:pPr>
            <w:r w:rsidRPr="00480513">
              <w:rPr>
                <w:rFonts w:ascii="Calibri" w:hAnsi="Calibri" w:cs="Calibri"/>
              </w:rPr>
              <w:t>3.</w:t>
            </w:r>
          </w:p>
        </w:tc>
        <w:tc>
          <w:tcPr>
            <w:tcW w:w="6034" w:type="dxa"/>
          </w:tcPr>
          <w:p w14:paraId="3568CFEE" w14:textId="77777777" w:rsidR="0062505A" w:rsidRPr="00480513" w:rsidRDefault="0062505A" w:rsidP="003D29BA">
            <w:pPr>
              <w:spacing w:line="276" w:lineRule="auto"/>
              <w:jc w:val="center"/>
              <w:rPr>
                <w:rFonts w:ascii="Calibri" w:hAnsi="Calibri" w:cs="Calibri"/>
              </w:rPr>
            </w:pPr>
            <w:r w:rsidRPr="00480513">
              <w:rPr>
                <w:rFonts w:ascii="Calibri" w:hAnsi="Calibri" w:cs="Calibri"/>
              </w:rPr>
              <w:t>6.200</w:t>
            </w:r>
          </w:p>
        </w:tc>
      </w:tr>
      <w:tr w:rsidR="0062505A" w:rsidRPr="00480513" w14:paraId="3A82DE77" w14:textId="77777777" w:rsidTr="003D29BA">
        <w:tc>
          <w:tcPr>
            <w:tcW w:w="2962" w:type="dxa"/>
          </w:tcPr>
          <w:p w14:paraId="6CB94CC9" w14:textId="77777777" w:rsidR="0062505A" w:rsidRPr="00480513" w:rsidRDefault="0062505A" w:rsidP="003D29BA">
            <w:pPr>
              <w:spacing w:line="276" w:lineRule="auto"/>
              <w:jc w:val="center"/>
              <w:rPr>
                <w:rFonts w:ascii="Calibri" w:hAnsi="Calibri" w:cs="Calibri"/>
              </w:rPr>
            </w:pPr>
            <w:r w:rsidRPr="00480513">
              <w:rPr>
                <w:rFonts w:ascii="Calibri" w:hAnsi="Calibri" w:cs="Calibri"/>
              </w:rPr>
              <w:t>4.</w:t>
            </w:r>
          </w:p>
        </w:tc>
        <w:tc>
          <w:tcPr>
            <w:tcW w:w="6034" w:type="dxa"/>
          </w:tcPr>
          <w:p w14:paraId="1BC39DA1" w14:textId="77777777" w:rsidR="0062505A" w:rsidRPr="00480513" w:rsidRDefault="0062505A" w:rsidP="003D29BA">
            <w:pPr>
              <w:spacing w:line="276" w:lineRule="auto"/>
              <w:jc w:val="center"/>
              <w:rPr>
                <w:rFonts w:ascii="Calibri" w:hAnsi="Calibri" w:cs="Calibri"/>
              </w:rPr>
            </w:pPr>
            <w:r w:rsidRPr="00480513">
              <w:rPr>
                <w:rFonts w:ascii="Calibri" w:hAnsi="Calibri" w:cs="Calibri"/>
              </w:rPr>
              <w:t xml:space="preserve">6.600 </w:t>
            </w:r>
          </w:p>
        </w:tc>
      </w:tr>
      <w:tr w:rsidR="0062505A" w:rsidRPr="00480513" w14:paraId="2CE7C87B" w14:textId="77777777" w:rsidTr="003D29BA">
        <w:tc>
          <w:tcPr>
            <w:tcW w:w="2962" w:type="dxa"/>
          </w:tcPr>
          <w:p w14:paraId="499D3ED1" w14:textId="77777777" w:rsidR="0062505A" w:rsidRPr="00480513" w:rsidRDefault="0062505A" w:rsidP="003D29BA">
            <w:pPr>
              <w:spacing w:line="276" w:lineRule="auto"/>
              <w:jc w:val="center"/>
              <w:rPr>
                <w:rFonts w:ascii="Calibri" w:hAnsi="Calibri" w:cs="Calibri"/>
              </w:rPr>
            </w:pPr>
            <w:r w:rsidRPr="00480513">
              <w:rPr>
                <w:rFonts w:ascii="Calibri" w:hAnsi="Calibri" w:cs="Calibri"/>
              </w:rPr>
              <w:t>…..</w:t>
            </w:r>
          </w:p>
        </w:tc>
        <w:tc>
          <w:tcPr>
            <w:tcW w:w="6034" w:type="dxa"/>
          </w:tcPr>
          <w:p w14:paraId="307FAB9F" w14:textId="77777777" w:rsidR="0062505A" w:rsidRPr="00480513" w:rsidRDefault="0062505A" w:rsidP="003D29BA">
            <w:pPr>
              <w:spacing w:line="276" w:lineRule="auto"/>
              <w:jc w:val="center"/>
              <w:rPr>
                <w:rFonts w:ascii="Calibri" w:hAnsi="Calibri" w:cs="Calibri"/>
              </w:rPr>
            </w:pPr>
          </w:p>
        </w:tc>
      </w:tr>
      <w:tr w:rsidR="0062505A" w:rsidRPr="00480513" w14:paraId="74154F74" w14:textId="77777777" w:rsidTr="003D29BA">
        <w:tc>
          <w:tcPr>
            <w:tcW w:w="2962" w:type="dxa"/>
          </w:tcPr>
          <w:p w14:paraId="5302E8BB" w14:textId="77777777" w:rsidR="0062505A" w:rsidRPr="00480513" w:rsidRDefault="0062505A" w:rsidP="003D29BA">
            <w:pPr>
              <w:spacing w:line="276" w:lineRule="auto"/>
              <w:jc w:val="center"/>
              <w:rPr>
                <w:rFonts w:ascii="Calibri" w:hAnsi="Calibri" w:cs="Calibri"/>
              </w:rPr>
            </w:pPr>
            <w:r w:rsidRPr="00480513">
              <w:rPr>
                <w:rFonts w:ascii="Calibri" w:hAnsi="Calibri" w:cs="Calibri"/>
              </w:rPr>
              <w:t>…..</w:t>
            </w:r>
          </w:p>
        </w:tc>
        <w:tc>
          <w:tcPr>
            <w:tcW w:w="6034" w:type="dxa"/>
          </w:tcPr>
          <w:p w14:paraId="31A723CD" w14:textId="77777777" w:rsidR="0062505A" w:rsidRPr="00480513" w:rsidRDefault="0062505A" w:rsidP="003D29BA">
            <w:pPr>
              <w:spacing w:line="276" w:lineRule="auto"/>
              <w:jc w:val="center"/>
              <w:rPr>
                <w:rFonts w:ascii="Calibri" w:hAnsi="Calibri" w:cs="Calibri"/>
              </w:rPr>
            </w:pPr>
          </w:p>
        </w:tc>
      </w:tr>
      <w:tr w:rsidR="0062505A" w:rsidRPr="00480513" w14:paraId="773FDADD" w14:textId="77777777" w:rsidTr="003D29BA">
        <w:tc>
          <w:tcPr>
            <w:tcW w:w="2962" w:type="dxa"/>
          </w:tcPr>
          <w:p w14:paraId="70960921" w14:textId="77777777" w:rsidR="0062505A" w:rsidRPr="00480513" w:rsidRDefault="0062505A" w:rsidP="003D29BA">
            <w:pPr>
              <w:spacing w:line="276" w:lineRule="auto"/>
              <w:ind w:firstLine="310"/>
              <w:jc w:val="center"/>
              <w:rPr>
                <w:rFonts w:ascii="Calibri" w:hAnsi="Calibri" w:cs="Calibri"/>
              </w:rPr>
            </w:pPr>
            <w:r w:rsidRPr="00480513">
              <w:rPr>
                <w:rFonts w:ascii="Calibri" w:hAnsi="Calibri" w:cs="Calibri"/>
              </w:rPr>
              <w:t>12.</w:t>
            </w:r>
          </w:p>
        </w:tc>
        <w:tc>
          <w:tcPr>
            <w:tcW w:w="6034" w:type="dxa"/>
          </w:tcPr>
          <w:p w14:paraId="46E917B8" w14:textId="77777777" w:rsidR="0062505A" w:rsidRPr="00480513" w:rsidRDefault="0062505A" w:rsidP="003D29BA">
            <w:pPr>
              <w:spacing w:line="276" w:lineRule="auto"/>
              <w:jc w:val="center"/>
              <w:rPr>
                <w:rFonts w:ascii="Calibri" w:hAnsi="Calibri" w:cs="Calibri"/>
              </w:rPr>
            </w:pPr>
            <w:r w:rsidRPr="00480513">
              <w:rPr>
                <w:rFonts w:ascii="Calibri" w:hAnsi="Calibri" w:cs="Calibri"/>
              </w:rPr>
              <w:t xml:space="preserve">9.800 </w:t>
            </w:r>
          </w:p>
        </w:tc>
      </w:tr>
      <w:tr w:rsidR="0062505A" w:rsidRPr="00480513" w14:paraId="13FFCDAC" w14:textId="77777777" w:rsidTr="003D29BA">
        <w:tc>
          <w:tcPr>
            <w:tcW w:w="2962" w:type="dxa"/>
          </w:tcPr>
          <w:p w14:paraId="67BC3523" w14:textId="77777777" w:rsidR="0062505A" w:rsidRPr="00480513" w:rsidRDefault="0062505A" w:rsidP="003D29BA">
            <w:pPr>
              <w:spacing w:line="276" w:lineRule="auto"/>
              <w:ind w:firstLine="310"/>
              <w:jc w:val="center"/>
              <w:rPr>
                <w:rFonts w:ascii="Calibri" w:hAnsi="Calibri" w:cs="Calibri"/>
              </w:rPr>
            </w:pPr>
            <w:r w:rsidRPr="00480513">
              <w:rPr>
                <w:rFonts w:ascii="Calibri" w:hAnsi="Calibri" w:cs="Calibri"/>
              </w:rPr>
              <w:t>13.</w:t>
            </w:r>
          </w:p>
        </w:tc>
        <w:tc>
          <w:tcPr>
            <w:tcW w:w="6034" w:type="dxa"/>
          </w:tcPr>
          <w:p w14:paraId="3A4F6C70" w14:textId="77777777" w:rsidR="0062505A" w:rsidRPr="00480513" w:rsidRDefault="0062505A" w:rsidP="003D29BA">
            <w:pPr>
              <w:spacing w:line="276" w:lineRule="auto"/>
              <w:jc w:val="center"/>
              <w:rPr>
                <w:rFonts w:ascii="Calibri" w:hAnsi="Calibri" w:cs="Calibri"/>
              </w:rPr>
            </w:pPr>
            <w:r w:rsidRPr="00480513">
              <w:rPr>
                <w:rFonts w:ascii="Calibri" w:hAnsi="Calibri" w:cs="Calibri"/>
              </w:rPr>
              <w:t xml:space="preserve">10.200 </w:t>
            </w:r>
          </w:p>
        </w:tc>
      </w:tr>
    </w:tbl>
    <w:p w14:paraId="5781EFD0" w14:textId="77777777" w:rsidR="0062505A" w:rsidRPr="00480513" w:rsidRDefault="0062505A" w:rsidP="0062505A">
      <w:pPr>
        <w:spacing w:line="276" w:lineRule="auto"/>
        <w:jc w:val="both"/>
        <w:rPr>
          <w:rFonts w:ascii="Calibri" w:hAnsi="Calibri" w:cs="Calibri"/>
        </w:rPr>
      </w:pPr>
    </w:p>
    <w:p w14:paraId="2ED9DE79" w14:textId="77777777" w:rsidR="0062505A" w:rsidRPr="00480513" w:rsidRDefault="0062505A" w:rsidP="0062505A">
      <w:pPr>
        <w:spacing w:line="276" w:lineRule="auto"/>
        <w:jc w:val="both"/>
        <w:rPr>
          <w:rFonts w:ascii="Calibri" w:hAnsi="Calibri" w:cs="Calibri"/>
          <w:b/>
          <w:bCs/>
        </w:rPr>
      </w:pPr>
      <w:r w:rsidRPr="00BE6620">
        <w:rPr>
          <w:rFonts w:ascii="Calibri" w:hAnsi="Calibri" w:cs="Calibri"/>
          <w:b/>
        </w:rPr>
        <w:t>Izračun pokaže, da odjemalec šele po 13 letih nakupa kotla in 13 let ogrevanja na plin preseže začetno investicijo za toplotno črpalko.</w:t>
      </w:r>
    </w:p>
    <w:p w14:paraId="77388E9D" w14:textId="77777777" w:rsidR="0062505A" w:rsidRPr="00480513" w:rsidRDefault="0062505A" w:rsidP="0062505A">
      <w:pPr>
        <w:spacing w:line="276" w:lineRule="auto"/>
        <w:jc w:val="both"/>
        <w:rPr>
          <w:rFonts w:ascii="Calibri" w:eastAsia="Times New Roman" w:hAnsi="Calibri" w:cs="Calibri"/>
          <w14:ligatures w14:val="none"/>
        </w:rPr>
      </w:pPr>
      <w:r w:rsidRPr="00480513">
        <w:rPr>
          <w:rFonts w:ascii="Calibri" w:eastAsia="Times New Roman" w:hAnsi="Calibri" w:cs="Calibri"/>
          <w14:ligatures w14:val="none"/>
        </w:rPr>
        <w:t>Pri tem je treba poudariti, da ta izračun ne upošteva vrednosti denarja (pri toplotni črpalki je treba že v prvem letu zagotovit visoka sredstva, pri plinskem kotlu pa ne</w:t>
      </w:r>
      <w:r>
        <w:rPr>
          <w:rFonts w:ascii="Calibri" w:eastAsia="Times New Roman" w:hAnsi="Calibri" w:cs="Calibri"/>
          <w14:ligatures w14:val="none"/>
        </w:rPr>
        <w:t>.</w:t>
      </w:r>
      <w:r w:rsidRPr="00480513">
        <w:rPr>
          <w:rFonts w:ascii="Calibri" w:eastAsia="Times New Roman" w:hAnsi="Calibri" w:cs="Calibri"/>
          <w14:ligatures w14:val="none"/>
        </w:rPr>
        <w:t>). Dodatno je treba opozoriti, da se bodo cene plina v prihodnosti še znižale, kot napovedujejo trendi na veleprodajnih trgih.</w:t>
      </w:r>
    </w:p>
    <w:p w14:paraId="4FC401E3" w14:textId="77777777" w:rsidR="0062505A" w:rsidRPr="00480513" w:rsidRDefault="0062505A" w:rsidP="0062505A">
      <w:pPr>
        <w:spacing w:line="276" w:lineRule="auto"/>
        <w:jc w:val="both"/>
        <w:rPr>
          <w:rFonts w:ascii="Calibri" w:eastAsia="Times New Roman" w:hAnsi="Calibri" w:cs="Calibri"/>
          <w14:ligatures w14:val="none"/>
        </w:rPr>
      </w:pPr>
      <w:r w:rsidRPr="00480513">
        <w:rPr>
          <w:rFonts w:ascii="Calibri" w:eastAsia="Times New Roman" w:hAnsi="Calibri" w:cs="Calibri"/>
          <w14:ligatures w14:val="none"/>
        </w:rPr>
        <w:lastRenderedPageBreak/>
        <w:t>Plinski kotel pa zavzame tudi bistveno manj prostora v stanovanjski gradnji kot toplotna črpalka, kjer je pomemben vsak dodatni kvadratni meter.</w:t>
      </w:r>
    </w:p>
    <w:p w14:paraId="2D894E30" w14:textId="77777777" w:rsidR="0062505A" w:rsidRPr="00480513" w:rsidRDefault="0062505A" w:rsidP="0062505A">
      <w:pPr>
        <w:spacing w:line="276" w:lineRule="auto"/>
        <w:jc w:val="both"/>
        <w:rPr>
          <w:rFonts w:ascii="Calibri" w:eastAsia="Times New Roman" w:hAnsi="Calibri" w:cs="Calibri"/>
          <w14:ligatures w14:val="none"/>
        </w:rPr>
      </w:pPr>
      <w:r w:rsidRPr="00480513">
        <w:rPr>
          <w:rFonts w:ascii="Calibri" w:eastAsia="Times New Roman" w:hAnsi="Calibri" w:cs="Calibri"/>
          <w14:ligatures w14:val="none"/>
        </w:rPr>
        <w:t>Drug primer, ki kaže na neumestnost prepovedi, je primer stanovanjske novogradnje večstanovanjskega objekta, v katerih se velikokrat investitorji odločijo za vgradnjo etažnih plinskih kotlov</w:t>
      </w:r>
      <w:r>
        <w:rPr>
          <w:rFonts w:ascii="Calibri" w:eastAsia="Times New Roman" w:hAnsi="Calibri" w:cs="Calibri"/>
          <w14:ligatures w14:val="none"/>
        </w:rPr>
        <w:t xml:space="preserve"> (v vsakem stanovanju)</w:t>
      </w:r>
      <w:r w:rsidRPr="00480513">
        <w:rPr>
          <w:rFonts w:ascii="Calibri" w:eastAsia="Times New Roman" w:hAnsi="Calibri" w:cs="Calibri"/>
          <w14:ligatures w14:val="none"/>
        </w:rPr>
        <w:t>.</w:t>
      </w:r>
    </w:p>
    <w:p w14:paraId="0789506C" w14:textId="77777777" w:rsidR="0062505A" w:rsidRPr="00480513" w:rsidRDefault="0062505A" w:rsidP="0062505A">
      <w:pPr>
        <w:spacing w:line="276" w:lineRule="auto"/>
        <w:jc w:val="both"/>
        <w:rPr>
          <w:rFonts w:ascii="Calibri" w:eastAsia="Times New Roman" w:hAnsi="Calibri" w:cs="Calibri"/>
          <w14:ligatures w14:val="none"/>
        </w:rPr>
      </w:pPr>
      <w:r w:rsidRPr="00480513">
        <w:rPr>
          <w:rFonts w:ascii="Calibri" w:eastAsia="Times New Roman" w:hAnsi="Calibri" w:cs="Calibri"/>
          <w14:ligatures w14:val="none"/>
        </w:rPr>
        <w:t>Fakulteta za strojništvo</w:t>
      </w:r>
      <w:r>
        <w:rPr>
          <w:rStyle w:val="FootnoteReference"/>
          <w:rFonts w:ascii="Calibri" w:eastAsia="Times New Roman" w:hAnsi="Calibri" w:cs="Calibri"/>
          <w14:ligatures w14:val="none"/>
        </w:rPr>
        <w:footnoteReference w:id="1"/>
      </w:r>
      <w:r w:rsidRPr="00480513">
        <w:rPr>
          <w:rFonts w:ascii="Calibri" w:eastAsia="Times New Roman" w:hAnsi="Calibri" w:cs="Calibri"/>
          <w14:ligatures w14:val="none"/>
        </w:rPr>
        <w:t xml:space="preserve"> je na konkretnem primeru objekta izdelala študijo »Energijska analiza sistemov ogrevanja in priprave tople sanitarne vode v večstanovanjskih stavbah«. V njej je primerjala različne sisteme ogrevanja in priprave tople sanitarne vode. Omenjamo dva najbolj pogosta primera:</w:t>
      </w:r>
    </w:p>
    <w:p w14:paraId="39DEEF90" w14:textId="77777777" w:rsidR="0062505A" w:rsidRPr="00480513" w:rsidRDefault="0062505A" w:rsidP="0062505A">
      <w:pPr>
        <w:numPr>
          <w:ilvl w:val="0"/>
          <w:numId w:val="13"/>
        </w:numPr>
        <w:spacing w:line="276" w:lineRule="auto"/>
        <w:contextualSpacing/>
        <w:jc w:val="both"/>
        <w:rPr>
          <w:rFonts w:ascii="Calibri" w:eastAsia="Times New Roman" w:hAnsi="Calibri" w:cs="Calibri"/>
          <w14:ligatures w14:val="none"/>
        </w:rPr>
      </w:pPr>
      <w:r w:rsidRPr="00480513">
        <w:rPr>
          <w:rFonts w:ascii="Calibri" w:eastAsia="Times New Roman" w:hAnsi="Calibri" w:cs="Calibri"/>
          <w14:ligatures w14:val="none"/>
        </w:rPr>
        <w:t>generatorji toplote v posameznih stanovanjih,</w:t>
      </w:r>
    </w:p>
    <w:p w14:paraId="38994739" w14:textId="77777777" w:rsidR="0062505A" w:rsidRPr="00480513" w:rsidRDefault="0062505A" w:rsidP="0062505A">
      <w:pPr>
        <w:numPr>
          <w:ilvl w:val="0"/>
          <w:numId w:val="13"/>
        </w:numPr>
        <w:spacing w:line="276" w:lineRule="auto"/>
        <w:contextualSpacing/>
        <w:jc w:val="both"/>
        <w:rPr>
          <w:rFonts w:ascii="Calibri" w:eastAsia="Times New Roman" w:hAnsi="Calibri" w:cs="Calibri"/>
          <w14:ligatures w14:val="none"/>
        </w:rPr>
      </w:pPr>
      <w:r w:rsidRPr="00480513">
        <w:rPr>
          <w:rFonts w:ascii="Calibri" w:eastAsia="Times New Roman" w:hAnsi="Calibri" w:cs="Calibri"/>
          <w14:ligatures w14:val="none"/>
        </w:rPr>
        <w:t>centralni generator toplote za celo večstanovanjsko stavbo.</w:t>
      </w:r>
    </w:p>
    <w:p w14:paraId="6B4E1C5D" w14:textId="77777777" w:rsidR="0062505A" w:rsidRPr="00480513" w:rsidRDefault="0062505A" w:rsidP="0062505A">
      <w:pPr>
        <w:spacing w:line="276" w:lineRule="auto"/>
        <w:ind w:left="720"/>
        <w:contextualSpacing/>
        <w:jc w:val="both"/>
        <w:rPr>
          <w:rFonts w:ascii="Calibri" w:eastAsia="Times New Roman" w:hAnsi="Calibri" w:cs="Calibri"/>
          <w14:ligatures w14:val="none"/>
        </w:rPr>
      </w:pPr>
    </w:p>
    <w:p w14:paraId="2EA300A4" w14:textId="55246A0E" w:rsidR="0062505A" w:rsidRPr="00480513" w:rsidRDefault="0062505A" w:rsidP="0062505A">
      <w:pPr>
        <w:spacing w:line="276" w:lineRule="auto"/>
        <w:jc w:val="both"/>
        <w:rPr>
          <w:rFonts w:ascii="Calibri" w:eastAsia="Times New Roman" w:hAnsi="Calibri" w:cs="Calibri"/>
          <w14:ligatures w14:val="none"/>
        </w:rPr>
      </w:pPr>
      <w:r w:rsidRPr="00480513">
        <w:rPr>
          <w:rFonts w:ascii="Calibri" w:eastAsia="Times New Roman" w:hAnsi="Calibri" w:cs="Calibri"/>
          <w14:ligatures w14:val="none"/>
        </w:rPr>
        <w:t xml:space="preserve">Izračun je pokazal, da je energijski izkoristek v primeru namestitve generatorjev toplote v posameznih stanovanjih še enkrat večji, kot če imamo centralni generator toplote. Glavni razlog je v pripravi tople sanitarne vode. V primeru centralnega generatorja toplote imamo, zlasti v času </w:t>
      </w:r>
      <w:proofErr w:type="spellStart"/>
      <w:r w:rsidRPr="00480513">
        <w:rPr>
          <w:rFonts w:ascii="Calibri" w:eastAsia="Times New Roman" w:hAnsi="Calibri" w:cs="Calibri"/>
          <w14:ligatures w14:val="none"/>
        </w:rPr>
        <w:t>neogrevalne</w:t>
      </w:r>
      <w:proofErr w:type="spellEnd"/>
      <w:r w:rsidRPr="00480513">
        <w:rPr>
          <w:rFonts w:ascii="Calibri" w:eastAsia="Times New Roman" w:hAnsi="Calibri" w:cs="Calibri"/>
          <w14:ligatures w14:val="none"/>
        </w:rPr>
        <w:t xml:space="preserve"> sezone velike toplotne izgube v dolgih dvižni</w:t>
      </w:r>
      <w:r w:rsidR="006D26A6">
        <w:rPr>
          <w:rFonts w:ascii="Calibri" w:eastAsia="Times New Roman" w:hAnsi="Calibri" w:cs="Calibri"/>
          <w14:ligatures w14:val="none"/>
        </w:rPr>
        <w:t>h</w:t>
      </w:r>
      <w:r w:rsidRPr="00480513">
        <w:rPr>
          <w:rFonts w:ascii="Calibri" w:eastAsia="Times New Roman" w:hAnsi="Calibri" w:cs="Calibri"/>
          <w14:ligatures w14:val="none"/>
        </w:rPr>
        <w:t xml:space="preserve"> in razvodni</w:t>
      </w:r>
      <w:r w:rsidR="006D26A6">
        <w:rPr>
          <w:rFonts w:ascii="Calibri" w:eastAsia="Times New Roman" w:hAnsi="Calibri" w:cs="Calibri"/>
          <w14:ligatures w14:val="none"/>
        </w:rPr>
        <w:t>h</w:t>
      </w:r>
      <w:r w:rsidRPr="00480513">
        <w:rPr>
          <w:rFonts w:ascii="Calibri" w:eastAsia="Times New Roman" w:hAnsi="Calibri" w:cs="Calibri"/>
          <w14:ligatures w14:val="none"/>
        </w:rPr>
        <w:t xml:space="preserve"> vodih sanitarne tople vode, kar je tudi eden izmed razlogov, da imajo nekatera gospodinjstva v Velenju visoke položnice.</w:t>
      </w:r>
    </w:p>
    <w:p w14:paraId="3E5C59F0" w14:textId="77777777" w:rsidR="0062505A" w:rsidRPr="00BE6620" w:rsidRDefault="0062505A" w:rsidP="0062505A">
      <w:pPr>
        <w:spacing w:line="276" w:lineRule="auto"/>
        <w:jc w:val="both"/>
        <w:rPr>
          <w:rFonts w:ascii="Calibri" w:eastAsia="Times New Roman" w:hAnsi="Calibri" w:cs="Calibri"/>
          <w:b/>
          <w14:ligatures w14:val="none"/>
        </w:rPr>
      </w:pPr>
      <w:r w:rsidRPr="00BE6620">
        <w:rPr>
          <w:rFonts w:ascii="Calibri" w:eastAsia="Times New Roman" w:hAnsi="Calibri" w:cs="Calibri"/>
          <w:b/>
          <w14:ligatures w14:val="none"/>
        </w:rPr>
        <w:t>S prepovedjo plinskih kotlov je iz trga tako izrinjen najcenejši, najmanjši in tudi zelo konkurenčen in priljubljen ogrevalni sistem. Namesto prepovedi predlagamo, da odločitev prepustite investitorjem oziroma gospodinjstvom.</w:t>
      </w:r>
    </w:p>
    <w:p w14:paraId="77F3152A" w14:textId="77777777" w:rsidR="0062505A" w:rsidRPr="00480513" w:rsidRDefault="0062505A" w:rsidP="0062505A">
      <w:pPr>
        <w:spacing w:line="276" w:lineRule="auto"/>
        <w:jc w:val="both"/>
        <w:rPr>
          <w:rFonts w:ascii="Calibri" w:hAnsi="Calibri" w:cs="Calibri"/>
          <w:b/>
          <w:bCs/>
        </w:rPr>
      </w:pPr>
    </w:p>
    <w:p w14:paraId="437FE950" w14:textId="77777777" w:rsidR="0062505A" w:rsidRPr="00480513" w:rsidRDefault="0062505A" w:rsidP="0062505A">
      <w:pPr>
        <w:pStyle w:val="ListParagraph"/>
        <w:numPr>
          <w:ilvl w:val="0"/>
          <w:numId w:val="8"/>
        </w:numPr>
        <w:spacing w:line="276" w:lineRule="auto"/>
        <w:jc w:val="both"/>
        <w:rPr>
          <w:rFonts w:ascii="Calibri" w:hAnsi="Calibri" w:cs="Calibri"/>
          <w:b/>
          <w:bCs/>
          <w:sz w:val="24"/>
          <w:szCs w:val="24"/>
        </w:rPr>
      </w:pPr>
      <w:r w:rsidRPr="00480513">
        <w:rPr>
          <w:rFonts w:ascii="Calibri" w:hAnsi="Calibri" w:cs="Calibri"/>
          <w:b/>
          <w:bCs/>
          <w:sz w:val="24"/>
          <w:szCs w:val="24"/>
        </w:rPr>
        <w:t xml:space="preserve">Diskriminacija energetskih virov </w:t>
      </w:r>
    </w:p>
    <w:p w14:paraId="1D26820C" w14:textId="77777777" w:rsidR="0062505A" w:rsidRPr="00480513" w:rsidRDefault="0062505A" w:rsidP="0062505A">
      <w:pPr>
        <w:spacing w:line="276" w:lineRule="auto"/>
        <w:jc w:val="both"/>
        <w:rPr>
          <w:rFonts w:ascii="Calibri" w:hAnsi="Calibri" w:cs="Calibri"/>
          <w:color w:val="111111"/>
        </w:rPr>
      </w:pPr>
      <w:bookmarkStart w:id="4" w:name="_Hlk163567047"/>
      <w:r w:rsidRPr="00480513">
        <w:rPr>
          <w:rFonts w:ascii="Calibri" w:hAnsi="Calibri" w:cs="Calibri"/>
        </w:rPr>
        <w:t xml:space="preserve">Takoj po uveljavitvi EZ-2 bo omogočeno podeljevanje koncesij za distribucijo plina le ob pogoju, da bo v distribuiranem plinu 80% obnovljivih plinov. </w:t>
      </w:r>
      <w:r w:rsidRPr="00480513">
        <w:rPr>
          <w:rFonts w:ascii="Calibri" w:hAnsi="Calibri" w:cs="Calibri"/>
          <w:color w:val="111111"/>
        </w:rPr>
        <w:t>Noben daljinski sistem (električno omrežje, daljinsko ogrevanje) nima danes takšnega deleža obnovljivih virov, niti še ne vemo, kako ga bomo dosegli čez 15 let (in to kljub temu, da intenzivno spodbujamo električno energijo iz OVE že več kot 15 oziroma 20 let).</w:t>
      </w:r>
      <w:r w:rsidRPr="00480513">
        <w:rPr>
          <w:rFonts w:ascii="Calibri" w:hAnsi="Calibri" w:cs="Calibri"/>
        </w:rPr>
        <w:t xml:space="preserve"> Uveljavitev EZ-2 tako dejansko pomeni prepoved podeljevanje koncesij za distribucijo plina. </w:t>
      </w:r>
      <w:r w:rsidRPr="00480513">
        <w:rPr>
          <w:rFonts w:ascii="Calibri" w:hAnsi="Calibri" w:cs="Calibri"/>
          <w:b/>
          <w:bCs/>
        </w:rPr>
        <w:t xml:space="preserve">Ti ukrepi so </w:t>
      </w:r>
      <w:r w:rsidRPr="00480513">
        <w:rPr>
          <w:rFonts w:ascii="Calibri" w:hAnsi="Calibri" w:cs="Calibri"/>
          <w:b/>
          <w:bCs/>
          <w:color w:val="111111"/>
        </w:rPr>
        <w:t xml:space="preserve">popolnoma neutemeljeni in celo škodljivi, ker je neizpodbitno, da država za prehod na obnovljive pline do danes ni vzpostavila nobenih potrebnih pogojev ali kakršnegakoli spodbujevalnega okolja. </w:t>
      </w:r>
      <w:r w:rsidRPr="00480513">
        <w:rPr>
          <w:rFonts w:ascii="Calibri" w:hAnsi="Calibri" w:cs="Calibri"/>
          <w:color w:val="111111"/>
        </w:rPr>
        <w:t>Ukrep je odslikava diskriminacije energetskih virov,</w:t>
      </w:r>
      <w:r w:rsidRPr="00480513">
        <w:rPr>
          <w:rFonts w:ascii="Calibri" w:hAnsi="Calibri" w:cs="Calibri"/>
          <w:b/>
          <w:bCs/>
          <w:color w:val="111111"/>
        </w:rPr>
        <w:t xml:space="preserve"> saj je bilo samo za podporo proizvodnji električne energije iz OVE in SPTE iz podporne sheme do leta 2022 porabljenih 1.522,4 milijona EUR, za podporo proizvodnji obnovljivih plinov pa 0 (nič) centov. </w:t>
      </w:r>
    </w:p>
    <w:bookmarkEnd w:id="4"/>
    <w:p w14:paraId="6957D3FC" w14:textId="77777777" w:rsidR="0062505A" w:rsidRPr="00480513" w:rsidRDefault="0062505A" w:rsidP="0062505A">
      <w:pPr>
        <w:spacing w:line="276" w:lineRule="auto"/>
        <w:jc w:val="both"/>
        <w:rPr>
          <w:rFonts w:ascii="Calibri" w:hAnsi="Calibri" w:cs="Calibri"/>
          <w:b/>
          <w:bCs/>
          <w:color w:val="111111"/>
        </w:rPr>
      </w:pPr>
    </w:p>
    <w:p w14:paraId="696C4B47" w14:textId="77777777" w:rsidR="0062505A" w:rsidRPr="00480513" w:rsidRDefault="0062505A" w:rsidP="0062505A">
      <w:pPr>
        <w:pStyle w:val="ListParagraph"/>
        <w:numPr>
          <w:ilvl w:val="0"/>
          <w:numId w:val="8"/>
        </w:numPr>
        <w:spacing w:line="276" w:lineRule="auto"/>
        <w:jc w:val="both"/>
        <w:rPr>
          <w:rFonts w:ascii="Calibri" w:hAnsi="Calibri" w:cs="Calibri"/>
          <w:b/>
          <w:bCs/>
          <w:color w:val="111111"/>
          <w:sz w:val="24"/>
          <w:szCs w:val="24"/>
        </w:rPr>
      </w:pPr>
      <w:bookmarkStart w:id="5" w:name="_Hlk163565067"/>
      <w:r w:rsidRPr="00480513">
        <w:rPr>
          <w:rFonts w:ascii="Calibri" w:hAnsi="Calibri" w:cs="Calibri"/>
          <w:b/>
          <w:bCs/>
          <w:color w:val="111111"/>
          <w:sz w:val="24"/>
          <w:szCs w:val="24"/>
        </w:rPr>
        <w:t xml:space="preserve">Problematičnost EZ-2 na področju podeljevanja in podaljševanja koncesij </w:t>
      </w:r>
    </w:p>
    <w:p w14:paraId="7A90CFBC" w14:textId="77777777" w:rsidR="0062505A" w:rsidRPr="00480513" w:rsidRDefault="0062505A" w:rsidP="0062505A">
      <w:pPr>
        <w:pStyle w:val="NormalWeb"/>
        <w:spacing w:before="0" w:beforeAutospacing="0" w:after="168" w:afterAutospacing="0" w:line="276" w:lineRule="auto"/>
        <w:jc w:val="both"/>
        <w:rPr>
          <w:rFonts w:ascii="Calibri" w:hAnsi="Calibri" w:cs="Calibri"/>
          <w:color w:val="111111"/>
          <w:sz w:val="22"/>
          <w:szCs w:val="22"/>
        </w:rPr>
      </w:pPr>
      <w:r w:rsidRPr="00480513">
        <w:rPr>
          <w:rFonts w:ascii="Calibri" w:hAnsi="Calibri" w:cs="Calibri"/>
          <w:color w:val="111111"/>
          <w:sz w:val="22"/>
          <w:szCs w:val="22"/>
        </w:rPr>
        <w:t xml:space="preserve">EZ-2 določa za obstoječe koncesije omejitev podaljševanja za 5 ali 7 let, kar sproža veliko negotovosti v dejavnost distribucije plina. Hkrati na MOPE zagotavljajo, da bi se koncesije lahko kar tako podaljševale. Ugledni pravniki trdijo nasprotno in sicer, da koncesij ni mogoče podaljševati tako enostavno kot odgovarja MOPE in opozarjajo, da je tovrstna zakonska ureditev omejevanja </w:t>
      </w:r>
      <w:r w:rsidRPr="00480513">
        <w:rPr>
          <w:rFonts w:ascii="Calibri" w:hAnsi="Calibri" w:cs="Calibri"/>
          <w:color w:val="111111"/>
          <w:sz w:val="22"/>
          <w:szCs w:val="22"/>
        </w:rPr>
        <w:lastRenderedPageBreak/>
        <w:t>podeljevanja in podaljševanja koncesij iz osmega in deveta odstavka 22. člena predloga zakona v neskladju z Ustavo.</w:t>
      </w:r>
    </w:p>
    <w:p w14:paraId="207E638C" w14:textId="77777777" w:rsidR="0062505A" w:rsidRPr="00480513" w:rsidRDefault="0062505A" w:rsidP="0062505A">
      <w:pPr>
        <w:pStyle w:val="NormalWeb"/>
        <w:spacing w:before="0" w:beforeAutospacing="0" w:after="168" w:afterAutospacing="0" w:line="276" w:lineRule="auto"/>
        <w:jc w:val="both"/>
        <w:rPr>
          <w:rFonts w:ascii="Calibri" w:hAnsi="Calibri" w:cs="Calibri"/>
          <w:sz w:val="22"/>
          <w:szCs w:val="22"/>
        </w:rPr>
      </w:pPr>
      <w:r w:rsidRPr="00480513">
        <w:rPr>
          <w:rFonts w:ascii="Calibri" w:hAnsi="Calibri" w:cs="Calibri"/>
          <w:sz w:val="22"/>
          <w:szCs w:val="22"/>
        </w:rPr>
        <w:t xml:space="preserve">Na MOPE očitno pri pripravi 22. člena EZ-2 niso upoštevali dejstva, da je krovni zakon za področje distribucije plina Zakon o oskrbi s plini, ki je začel veljati v letu 2022. Ta zakon določa, da se koncesije za plin </w:t>
      </w:r>
      <w:r w:rsidRPr="00480513">
        <w:rPr>
          <w:rFonts w:ascii="Calibri" w:hAnsi="Calibri" w:cs="Calibri"/>
          <w:b/>
          <w:sz w:val="22"/>
          <w:szCs w:val="22"/>
        </w:rPr>
        <w:t xml:space="preserve">podelijo </w:t>
      </w:r>
      <w:r w:rsidRPr="00480513">
        <w:rPr>
          <w:rFonts w:ascii="Calibri" w:hAnsi="Calibri" w:cs="Calibri"/>
          <w:sz w:val="22"/>
          <w:szCs w:val="22"/>
        </w:rPr>
        <w:t xml:space="preserve">in to za </w:t>
      </w:r>
      <w:r w:rsidRPr="00BE6620">
        <w:rPr>
          <w:rFonts w:ascii="Calibri" w:hAnsi="Calibri" w:cs="Calibri"/>
          <w:b/>
          <w:sz w:val="22"/>
          <w:szCs w:val="22"/>
        </w:rPr>
        <w:t>dobo 35 let</w:t>
      </w:r>
      <w:r w:rsidRPr="00480513">
        <w:rPr>
          <w:rFonts w:ascii="Calibri" w:hAnsi="Calibri" w:cs="Calibri"/>
          <w:sz w:val="22"/>
          <w:szCs w:val="22"/>
        </w:rPr>
        <w:t xml:space="preserve"> (brez velikih omejitev). Postavlja se torej vprašanje, ali se mora področje koncesij urejati v Energetskem zakonu ali pa bi moral to urejati Zakon o oskrbi s plini, ki celovito ureja to področje. </w:t>
      </w:r>
    </w:p>
    <w:p w14:paraId="2BBDBC44" w14:textId="399D1F10" w:rsidR="0062505A" w:rsidRPr="00480513" w:rsidRDefault="0062505A" w:rsidP="0062505A">
      <w:pPr>
        <w:pStyle w:val="NormalWeb"/>
        <w:spacing w:before="0" w:beforeAutospacing="0" w:after="168" w:afterAutospacing="0" w:line="276" w:lineRule="auto"/>
        <w:jc w:val="both"/>
        <w:rPr>
          <w:rFonts w:ascii="Calibri" w:hAnsi="Calibri" w:cs="Calibri"/>
          <w:sz w:val="22"/>
          <w:szCs w:val="22"/>
        </w:rPr>
      </w:pPr>
      <w:r w:rsidRPr="00480513">
        <w:rPr>
          <w:rFonts w:ascii="Calibri" w:hAnsi="Calibri" w:cs="Calibri"/>
          <w:sz w:val="22"/>
          <w:szCs w:val="22"/>
        </w:rPr>
        <w:t>Prav tako EZ-2 omejuje občine</w:t>
      </w:r>
      <w:r w:rsidRPr="00480513">
        <w:rPr>
          <w:rFonts w:ascii="Calibri" w:eastAsia="Tahoma" w:hAnsi="Calibri" w:cs="Calibri"/>
          <w:kern w:val="24"/>
          <w:sz w:val="22"/>
          <w:szCs w:val="22"/>
        </w:rPr>
        <w:t xml:space="preserve"> </w:t>
      </w:r>
      <w:r w:rsidRPr="00480513">
        <w:rPr>
          <w:rFonts w:ascii="Calibri" w:hAnsi="Calibri" w:cs="Calibri"/>
          <w:sz w:val="22"/>
          <w:szCs w:val="22"/>
        </w:rPr>
        <w:t>da izvedejo javni razpis in izberejo najboljšega koncesionarja (</w:t>
      </w:r>
      <w:r w:rsidRPr="00480513">
        <w:rPr>
          <w:rFonts w:ascii="Calibri" w:hAnsi="Calibri" w:cs="Calibri"/>
          <w:sz w:val="22"/>
          <w:szCs w:val="22"/>
          <w:u w:val="single"/>
        </w:rPr>
        <w:t>podelitev koncesije</w:t>
      </w:r>
      <w:r w:rsidRPr="00480513">
        <w:rPr>
          <w:rFonts w:ascii="Calibri" w:hAnsi="Calibri" w:cs="Calibri"/>
          <w:sz w:val="22"/>
          <w:szCs w:val="22"/>
        </w:rPr>
        <w:t xml:space="preserve">), ampak določa, da se koncesije lahko </w:t>
      </w:r>
      <w:r w:rsidRPr="00480513">
        <w:rPr>
          <w:rFonts w:ascii="Calibri" w:hAnsi="Calibri" w:cs="Calibri"/>
          <w:sz w:val="22"/>
          <w:szCs w:val="22"/>
          <w:u w:val="single"/>
        </w:rPr>
        <w:t>podaljšajo</w:t>
      </w:r>
      <w:r w:rsidRPr="00480513">
        <w:rPr>
          <w:rFonts w:ascii="Calibri" w:hAnsi="Calibri" w:cs="Calibri"/>
          <w:sz w:val="22"/>
          <w:szCs w:val="22"/>
        </w:rPr>
        <w:t xml:space="preserve"> samo z </w:t>
      </w:r>
      <w:r w:rsidRPr="00480513">
        <w:rPr>
          <w:rFonts w:ascii="Calibri" w:hAnsi="Calibri" w:cs="Calibri"/>
          <w:sz w:val="22"/>
          <w:szCs w:val="22"/>
          <w:u w:val="single"/>
        </w:rPr>
        <w:t>obstoječim koncesionarjem</w:t>
      </w:r>
      <w:r w:rsidRPr="00480513">
        <w:rPr>
          <w:rFonts w:ascii="Calibri" w:hAnsi="Calibri" w:cs="Calibri"/>
          <w:sz w:val="22"/>
          <w:szCs w:val="22"/>
        </w:rPr>
        <w:t>. To tudi pomeni, da občine ne morejo z</w:t>
      </w:r>
      <w:r w:rsidR="006D26A6">
        <w:rPr>
          <w:rFonts w:ascii="Calibri" w:hAnsi="Calibri" w:cs="Calibri"/>
          <w:sz w:val="22"/>
          <w:szCs w:val="22"/>
        </w:rPr>
        <w:t>amenjati koncesionarja, če z nji</w:t>
      </w:r>
      <w:r w:rsidRPr="00480513">
        <w:rPr>
          <w:rFonts w:ascii="Calibri" w:hAnsi="Calibri" w:cs="Calibri"/>
          <w:sz w:val="22"/>
          <w:szCs w:val="22"/>
        </w:rPr>
        <w:t>m niso zadovoljne.</w:t>
      </w:r>
    </w:p>
    <w:p w14:paraId="28EC3E58" w14:textId="77777777" w:rsidR="0062505A" w:rsidRPr="00480513" w:rsidRDefault="0062505A" w:rsidP="0062505A">
      <w:pPr>
        <w:pStyle w:val="NormalWeb"/>
        <w:spacing w:before="0" w:beforeAutospacing="0" w:after="168" w:afterAutospacing="0" w:line="276" w:lineRule="auto"/>
        <w:jc w:val="both"/>
        <w:rPr>
          <w:rFonts w:ascii="Calibri" w:hAnsi="Calibri" w:cs="Calibri"/>
          <w:sz w:val="22"/>
          <w:szCs w:val="22"/>
        </w:rPr>
      </w:pPr>
    </w:p>
    <w:bookmarkEnd w:id="5"/>
    <w:p w14:paraId="0A206DF2" w14:textId="77777777" w:rsidR="0062505A" w:rsidRPr="00480513" w:rsidRDefault="0062505A" w:rsidP="0062505A">
      <w:pPr>
        <w:pStyle w:val="ListParagraph"/>
        <w:numPr>
          <w:ilvl w:val="0"/>
          <w:numId w:val="8"/>
        </w:numPr>
        <w:spacing w:line="276" w:lineRule="auto"/>
        <w:jc w:val="both"/>
        <w:rPr>
          <w:rFonts w:ascii="Calibri" w:hAnsi="Calibri" w:cs="Calibri"/>
          <w:b/>
          <w:bCs/>
          <w:color w:val="111111"/>
          <w:sz w:val="24"/>
          <w:szCs w:val="24"/>
        </w:rPr>
      </w:pPr>
      <w:r w:rsidRPr="00480513">
        <w:rPr>
          <w:rFonts w:ascii="Calibri" w:hAnsi="Calibri" w:cs="Calibri"/>
          <w:b/>
          <w:bCs/>
          <w:color w:val="111111"/>
          <w:sz w:val="24"/>
          <w:szCs w:val="24"/>
        </w:rPr>
        <w:t xml:space="preserve">Nespametnost slovenske energetske politike kot jo začrtuje EZ-2 </w:t>
      </w:r>
    </w:p>
    <w:p w14:paraId="19268454" w14:textId="77777777" w:rsidR="0062505A" w:rsidRPr="00480513" w:rsidRDefault="0062505A" w:rsidP="0062505A">
      <w:pPr>
        <w:pStyle w:val="NormalWeb"/>
        <w:spacing w:before="0" w:beforeAutospacing="0" w:after="168" w:afterAutospacing="0" w:line="276" w:lineRule="auto"/>
        <w:jc w:val="both"/>
        <w:rPr>
          <w:rFonts w:ascii="Calibri" w:hAnsi="Calibri" w:cs="Calibri"/>
          <w:color w:val="111111"/>
          <w:sz w:val="22"/>
          <w:szCs w:val="22"/>
        </w:rPr>
      </w:pPr>
      <w:r w:rsidRPr="00480513">
        <w:rPr>
          <w:rFonts w:ascii="Calibri" w:hAnsi="Calibri" w:cs="Calibri"/>
          <w:color w:val="111111"/>
          <w:sz w:val="22"/>
          <w:szCs w:val="22"/>
        </w:rPr>
        <w:t>Dejstvo je, da plin nima ustrezne alternative in je še nekaj časa ne bo imel. Od danes do 1.1.2031 potečejo koncesije za distribucijo plina v 33 občinah. Občine ne bodo mogle podeljevati več koncesij, ampak jih bodo lahko samo podaljšale z obstoječim koncesionarjem. V skladu z EZ-2 bi te občine lahko podaljšale koncesijo do obdobja 2030 – 2035. In pri tem se izpostavlja pomembno vprašanje, kakšno bo tedaj stanje na področju alternativ plinu?</w:t>
      </w:r>
    </w:p>
    <w:p w14:paraId="75AF52D2" w14:textId="77777777" w:rsidR="0062505A" w:rsidRPr="00480513" w:rsidRDefault="0062505A" w:rsidP="0062505A">
      <w:pPr>
        <w:pStyle w:val="NormalWeb"/>
        <w:numPr>
          <w:ilvl w:val="0"/>
          <w:numId w:val="9"/>
        </w:numPr>
        <w:spacing w:before="0" w:beforeAutospacing="0" w:after="168" w:afterAutospacing="0" w:line="276" w:lineRule="auto"/>
        <w:jc w:val="both"/>
        <w:rPr>
          <w:rFonts w:ascii="Calibri" w:hAnsi="Calibri" w:cs="Calibri"/>
          <w:color w:val="111111"/>
          <w:sz w:val="22"/>
          <w:szCs w:val="22"/>
        </w:rPr>
      </w:pPr>
      <w:r w:rsidRPr="00480513">
        <w:rPr>
          <w:rFonts w:ascii="Calibri" w:hAnsi="Calibri" w:cs="Calibri"/>
          <w:color w:val="111111"/>
          <w:sz w:val="22"/>
          <w:szCs w:val="22"/>
        </w:rPr>
        <w:t>še vedno ne bo dovolj električne energije iz obnovljivih virov energije v zimskem obdobju za te (nekoč) plinske odjemalce;</w:t>
      </w:r>
    </w:p>
    <w:p w14:paraId="620926FE" w14:textId="77777777" w:rsidR="0062505A" w:rsidRPr="00480513" w:rsidRDefault="0062505A" w:rsidP="0062505A">
      <w:pPr>
        <w:pStyle w:val="NormalWeb"/>
        <w:numPr>
          <w:ilvl w:val="0"/>
          <w:numId w:val="9"/>
        </w:numPr>
        <w:spacing w:before="0" w:beforeAutospacing="0" w:after="168" w:afterAutospacing="0" w:line="276" w:lineRule="auto"/>
        <w:jc w:val="both"/>
        <w:rPr>
          <w:rFonts w:ascii="Calibri" w:hAnsi="Calibri" w:cs="Calibri"/>
          <w:color w:val="111111"/>
          <w:sz w:val="22"/>
          <w:szCs w:val="22"/>
        </w:rPr>
      </w:pPr>
      <w:bookmarkStart w:id="6" w:name="_Hlk163568058"/>
      <w:r w:rsidRPr="00480513">
        <w:rPr>
          <w:rFonts w:ascii="Calibri" w:hAnsi="Calibri" w:cs="Calibri"/>
          <w:color w:val="111111"/>
          <w:sz w:val="22"/>
          <w:szCs w:val="22"/>
        </w:rPr>
        <w:t>električno omrežje bo še vedno preobremenjeno v zimskem obdobju oziroma nikakor ne bo moglo zadostiti potrebam vseh tistih, ki so se ogrevali na plin, saj električno omrežje ni bilo zgrajeno za potrebe oskrbe energije za ogrevanje;</w:t>
      </w:r>
    </w:p>
    <w:bookmarkEnd w:id="6"/>
    <w:p w14:paraId="1429BCE9" w14:textId="77777777" w:rsidR="0062505A" w:rsidRPr="00480513" w:rsidRDefault="0062505A" w:rsidP="0062505A">
      <w:pPr>
        <w:pStyle w:val="NormalWeb"/>
        <w:numPr>
          <w:ilvl w:val="0"/>
          <w:numId w:val="9"/>
        </w:numPr>
        <w:spacing w:before="0" w:beforeAutospacing="0" w:after="168" w:afterAutospacing="0" w:line="276" w:lineRule="auto"/>
        <w:jc w:val="both"/>
        <w:rPr>
          <w:rFonts w:ascii="Calibri" w:hAnsi="Calibri" w:cs="Calibri"/>
          <w:color w:val="111111"/>
          <w:sz w:val="22"/>
          <w:szCs w:val="22"/>
        </w:rPr>
      </w:pPr>
      <w:r w:rsidRPr="00480513">
        <w:rPr>
          <w:rFonts w:ascii="Calibri" w:hAnsi="Calibri" w:cs="Calibri"/>
          <w:color w:val="111111"/>
          <w:sz w:val="22"/>
          <w:szCs w:val="22"/>
        </w:rPr>
        <w:t>najkasneje do leta 2033 bo TEŠ nehal delovati, kar bo še dodatno znižalo razpoložljivo električno energijo v zimskem obdobju;</w:t>
      </w:r>
    </w:p>
    <w:p w14:paraId="2040F9EF" w14:textId="77777777" w:rsidR="0062505A" w:rsidRPr="00480513" w:rsidRDefault="0062505A" w:rsidP="0062505A">
      <w:pPr>
        <w:pStyle w:val="NormalWeb"/>
        <w:numPr>
          <w:ilvl w:val="0"/>
          <w:numId w:val="9"/>
        </w:numPr>
        <w:spacing w:before="0" w:beforeAutospacing="0" w:after="168" w:afterAutospacing="0" w:line="276" w:lineRule="auto"/>
        <w:jc w:val="both"/>
        <w:rPr>
          <w:rFonts w:ascii="Calibri" w:hAnsi="Calibri" w:cs="Calibri"/>
          <w:color w:val="111111"/>
          <w:sz w:val="22"/>
          <w:szCs w:val="22"/>
        </w:rPr>
      </w:pPr>
      <w:r w:rsidRPr="00480513">
        <w:rPr>
          <w:rFonts w:ascii="Calibri" w:hAnsi="Calibri" w:cs="Calibri"/>
          <w:color w:val="111111"/>
          <w:sz w:val="22"/>
          <w:szCs w:val="22"/>
        </w:rPr>
        <w:t xml:space="preserve">jedrska elektrarna do leta 2035 ne bo zgrajena in še danes ni znana letnica morebitnega priklopa JEK2 v omrežje (2040, 2405?); </w:t>
      </w:r>
    </w:p>
    <w:p w14:paraId="77C0FDA5" w14:textId="77777777" w:rsidR="0062505A" w:rsidRPr="00480513" w:rsidRDefault="0062505A" w:rsidP="0062505A">
      <w:pPr>
        <w:pStyle w:val="NormalWeb"/>
        <w:numPr>
          <w:ilvl w:val="0"/>
          <w:numId w:val="9"/>
        </w:numPr>
        <w:spacing w:before="0" w:beforeAutospacing="0" w:after="168" w:afterAutospacing="0" w:line="276" w:lineRule="auto"/>
        <w:jc w:val="both"/>
        <w:rPr>
          <w:rFonts w:ascii="Calibri" w:hAnsi="Calibri" w:cs="Calibri"/>
          <w:color w:val="111111"/>
          <w:sz w:val="22"/>
          <w:szCs w:val="22"/>
        </w:rPr>
      </w:pPr>
      <w:r w:rsidRPr="00480513">
        <w:rPr>
          <w:rFonts w:ascii="Calibri" w:hAnsi="Calibri" w:cs="Calibri"/>
          <w:color w:val="111111"/>
          <w:sz w:val="22"/>
          <w:szCs w:val="22"/>
        </w:rPr>
        <w:t>še vedno bo fizično zelo težko izvesti prehod iz plina na uporabo toplotnih črpalk. Kot primer navajamo večstanovanjski objekt z etažnimi plinskimi kotli. V tem primeru bi bilo treba lokalne generatorje toplote zamenjati z enim centralnim generatorjem toplote za ves stanovanjski objekt. To pomeni veliko gradbenih in inštalacijskih del (treba bi bilo napeljati dvižne in horizontalne vode za ogrevalno vodo in sanitarno vodo od centralnega generatorje toplote do vsakega stanovanja, v objektu zagotoviti dodatne prostor za novi generator toplote, …). Takšni posegi zahtevajo tudi znatna finančna sredstva. Vprašljiv pa je tudi priklop na električno omrežje (ker so to velike moči).</w:t>
      </w:r>
    </w:p>
    <w:p w14:paraId="41CF8925" w14:textId="77777777" w:rsidR="0062505A" w:rsidRPr="00480513" w:rsidRDefault="0062505A" w:rsidP="0062505A">
      <w:pPr>
        <w:pStyle w:val="NormalWeb"/>
        <w:spacing w:before="0" w:beforeAutospacing="0" w:after="168" w:afterAutospacing="0" w:line="276" w:lineRule="auto"/>
        <w:jc w:val="both"/>
        <w:rPr>
          <w:rFonts w:ascii="Calibri" w:hAnsi="Calibri" w:cs="Calibri"/>
          <w:color w:val="111111"/>
          <w:sz w:val="22"/>
          <w:szCs w:val="22"/>
        </w:rPr>
      </w:pPr>
    </w:p>
    <w:p w14:paraId="51CD20FD" w14:textId="77777777" w:rsidR="0062505A" w:rsidRPr="00480513" w:rsidRDefault="0062505A" w:rsidP="0062505A">
      <w:pPr>
        <w:pStyle w:val="NormalWeb"/>
        <w:spacing w:before="0" w:beforeAutospacing="0" w:after="168" w:afterAutospacing="0" w:line="276" w:lineRule="auto"/>
        <w:jc w:val="both"/>
        <w:rPr>
          <w:rFonts w:ascii="Calibri" w:hAnsi="Calibri" w:cs="Calibri"/>
          <w:color w:val="111111"/>
          <w:sz w:val="22"/>
          <w:szCs w:val="22"/>
        </w:rPr>
      </w:pPr>
      <w:r w:rsidRPr="00480513">
        <w:rPr>
          <w:rFonts w:ascii="Calibri" w:hAnsi="Calibri" w:cs="Calibri"/>
          <w:b/>
          <w:color w:val="111111"/>
          <w:sz w:val="22"/>
          <w:szCs w:val="22"/>
        </w:rPr>
        <w:t>Omejevati dobro delujoče sisteme, ko na drugi strani ni znanih alternativ, ni primerna in celo zelo nevarna energetska politika</w:t>
      </w:r>
      <w:r w:rsidRPr="00480513">
        <w:rPr>
          <w:rFonts w:ascii="Calibri" w:hAnsi="Calibri" w:cs="Calibri"/>
          <w:color w:val="111111"/>
          <w:sz w:val="22"/>
          <w:szCs w:val="22"/>
        </w:rPr>
        <w:t xml:space="preserve">. </w:t>
      </w:r>
    </w:p>
    <w:p w14:paraId="45776DDD" w14:textId="77777777" w:rsidR="0062505A" w:rsidRPr="00480513" w:rsidRDefault="0062505A" w:rsidP="0062505A">
      <w:pPr>
        <w:pStyle w:val="NormalWeb"/>
        <w:spacing w:before="0" w:beforeAutospacing="0" w:after="168" w:afterAutospacing="0" w:line="276" w:lineRule="auto"/>
        <w:jc w:val="both"/>
        <w:rPr>
          <w:rFonts w:ascii="Calibri" w:hAnsi="Calibri" w:cs="Calibri"/>
          <w:color w:val="111111"/>
          <w:sz w:val="22"/>
          <w:szCs w:val="22"/>
        </w:rPr>
      </w:pPr>
      <w:r w:rsidRPr="00480513">
        <w:rPr>
          <w:rFonts w:ascii="Calibri" w:hAnsi="Calibri" w:cs="Calibri"/>
          <w:color w:val="111111"/>
          <w:sz w:val="22"/>
          <w:szCs w:val="22"/>
        </w:rPr>
        <w:lastRenderedPageBreak/>
        <w:t xml:space="preserve">Plinovodno omrežje je bilo projektirano in izgrajeno tudi za potrebe ogrevanja. Na drugi strani električno omrežje ni bilo projektirano in grajeno za potrebe ogrevanja ter je zaradi tega že danes v zimskem obdobju na robu svoje zmogljivosti. </w:t>
      </w:r>
    </w:p>
    <w:p w14:paraId="11BE9CF7" w14:textId="77777777" w:rsidR="0062505A" w:rsidRPr="00480513" w:rsidRDefault="0062505A" w:rsidP="0062505A">
      <w:pPr>
        <w:pStyle w:val="NormalWeb"/>
        <w:spacing w:before="0" w:beforeAutospacing="0" w:after="168" w:afterAutospacing="0" w:line="276" w:lineRule="auto"/>
        <w:jc w:val="both"/>
        <w:rPr>
          <w:rFonts w:ascii="Calibri" w:hAnsi="Calibri" w:cs="Calibri"/>
          <w:color w:val="111111"/>
          <w:sz w:val="22"/>
          <w:szCs w:val="22"/>
        </w:rPr>
      </w:pPr>
      <w:r w:rsidRPr="00480513">
        <w:rPr>
          <w:rFonts w:ascii="Calibri" w:hAnsi="Calibri" w:cs="Calibri"/>
          <w:noProof/>
          <w:color w:val="111111"/>
          <w:sz w:val="22"/>
          <w:szCs w:val="22"/>
          <w:lang w:eastAsia="sl-SI"/>
        </w:rPr>
        <w:drawing>
          <wp:inline distT="0" distB="0" distL="0" distR="0" wp14:anchorId="462F7F24" wp14:editId="272D588E">
            <wp:extent cx="5731510" cy="2941955"/>
            <wp:effectExtent l="0" t="0" r="2540" b="0"/>
            <wp:docPr id="1"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0"/>
                    <pic:cNvPicPr>
                      <a:picLocks noChangeAspect="1"/>
                    </pic:cNvPicPr>
                  </pic:nvPicPr>
                  <pic:blipFill>
                    <a:blip r:embed="rId12"/>
                    <a:stretch>
                      <a:fillRect/>
                    </a:stretch>
                  </pic:blipFill>
                  <pic:spPr>
                    <a:xfrm>
                      <a:off x="0" y="0"/>
                      <a:ext cx="5731510" cy="2941955"/>
                    </a:xfrm>
                    <a:prstGeom prst="rect">
                      <a:avLst/>
                    </a:prstGeom>
                  </pic:spPr>
                </pic:pic>
              </a:graphicData>
            </a:graphic>
          </wp:inline>
        </w:drawing>
      </w:r>
    </w:p>
    <w:p w14:paraId="589875DD" w14:textId="77777777" w:rsidR="0062505A" w:rsidRPr="00480513" w:rsidRDefault="0062505A" w:rsidP="0062505A">
      <w:pPr>
        <w:pStyle w:val="NormalWeb"/>
        <w:spacing w:before="0" w:beforeAutospacing="0" w:after="168" w:afterAutospacing="0" w:line="276" w:lineRule="auto"/>
        <w:jc w:val="both"/>
        <w:rPr>
          <w:rFonts w:ascii="Calibri" w:hAnsi="Calibri" w:cs="Calibri"/>
          <w:color w:val="111111"/>
          <w:sz w:val="20"/>
          <w:szCs w:val="20"/>
        </w:rPr>
      </w:pPr>
      <w:r w:rsidRPr="00480513">
        <w:rPr>
          <w:rFonts w:ascii="Calibri" w:hAnsi="Calibri" w:cs="Calibri"/>
          <w:color w:val="111111"/>
          <w:sz w:val="20"/>
          <w:szCs w:val="20"/>
        </w:rPr>
        <w:t>Slika 1: Konične obremenitve v distribucijskem električnem omrežju</w:t>
      </w:r>
      <w:r w:rsidRPr="00480513">
        <w:rPr>
          <w:rStyle w:val="FootnoteReference"/>
          <w:rFonts w:ascii="Calibri" w:hAnsi="Calibri" w:cs="Calibri"/>
          <w:color w:val="111111"/>
          <w:sz w:val="20"/>
          <w:szCs w:val="20"/>
        </w:rPr>
        <w:footnoteReference w:id="2"/>
      </w:r>
    </w:p>
    <w:p w14:paraId="6BEE79B9" w14:textId="77777777" w:rsidR="0062505A" w:rsidRPr="00480513" w:rsidRDefault="0062505A" w:rsidP="0062505A">
      <w:pPr>
        <w:pStyle w:val="NormalWeb"/>
        <w:spacing w:before="0" w:beforeAutospacing="0" w:after="168" w:afterAutospacing="0" w:line="276" w:lineRule="auto"/>
        <w:jc w:val="both"/>
        <w:rPr>
          <w:rFonts w:ascii="Calibri" w:hAnsi="Calibri" w:cs="Calibri"/>
          <w:color w:val="111111"/>
          <w:sz w:val="22"/>
          <w:szCs w:val="22"/>
        </w:rPr>
      </w:pPr>
      <w:r w:rsidRPr="00480513">
        <w:rPr>
          <w:rFonts w:ascii="Calibri" w:hAnsi="Calibri" w:cs="Calibri"/>
          <w:color w:val="111111"/>
          <w:sz w:val="22"/>
          <w:szCs w:val="22"/>
        </w:rPr>
        <w:t>Ravno te konične obremenitve poganjajo potrebne investicije v distribucijsko električno omrežje. Če bomo električno omrežje v zimskem obdobju še dodatno obremenjevali (energija za ogrevanje), bo potrebnih še več investicij. Trenutno je v posvetovalnem dokumentu Razvojni načrt distribucijskega sistema električne energije v Republiki Sloveniji za desetletno obdobje od leta 2025 do leta 2034 predvideno od leta 2025 do 2034 kar 4,5 milijard investicij v distribucijsko električno omrežje.</w:t>
      </w:r>
    </w:p>
    <w:p w14:paraId="36C09143" w14:textId="77777777" w:rsidR="0062505A" w:rsidRPr="00480513" w:rsidRDefault="0062505A" w:rsidP="0062505A">
      <w:pPr>
        <w:pStyle w:val="NormalWeb"/>
        <w:spacing w:before="0" w:beforeAutospacing="0" w:after="168" w:afterAutospacing="0" w:line="276" w:lineRule="auto"/>
        <w:jc w:val="both"/>
        <w:rPr>
          <w:rFonts w:ascii="Calibri" w:hAnsi="Calibri" w:cs="Calibri"/>
          <w:color w:val="111111"/>
          <w:sz w:val="22"/>
          <w:szCs w:val="22"/>
        </w:rPr>
      </w:pPr>
    </w:p>
    <w:p w14:paraId="14919647" w14:textId="77777777" w:rsidR="0062505A" w:rsidRPr="00480513" w:rsidRDefault="0062505A" w:rsidP="0062505A">
      <w:pPr>
        <w:pStyle w:val="NormalWeb"/>
        <w:spacing w:before="0" w:beforeAutospacing="0" w:after="168" w:afterAutospacing="0" w:line="276" w:lineRule="auto"/>
        <w:jc w:val="both"/>
        <w:rPr>
          <w:rFonts w:ascii="Calibri" w:hAnsi="Calibri" w:cs="Calibri"/>
          <w:color w:val="111111"/>
          <w:sz w:val="22"/>
          <w:szCs w:val="22"/>
        </w:rPr>
      </w:pPr>
      <w:r w:rsidRPr="00480513">
        <w:rPr>
          <w:rFonts w:ascii="Calibri" w:hAnsi="Calibri" w:cs="Calibri"/>
          <w:color w:val="111111"/>
          <w:sz w:val="22"/>
          <w:szCs w:val="22"/>
        </w:rPr>
        <w:t>Zaradi naštetih dejstev in predvsem zaradi tega, ker v zimskem obdobju nikakor nimamo zadostnih količin električne energije iz obnovljivih virov energije že za obstoječe odjemalce (in dodatni izpad elektrike iz TEŠ-a), kaj šele za nove, je pristop, ko se plin za potrebe ogrevanja nadomešča z električno energijo, napačen.</w:t>
      </w:r>
    </w:p>
    <w:p w14:paraId="303EDA97" w14:textId="77777777" w:rsidR="0062505A" w:rsidRPr="00480513" w:rsidRDefault="0062505A" w:rsidP="0062505A">
      <w:pPr>
        <w:pStyle w:val="NormalWeb"/>
        <w:spacing w:before="0" w:beforeAutospacing="0" w:after="168" w:afterAutospacing="0" w:line="276" w:lineRule="auto"/>
        <w:jc w:val="both"/>
        <w:rPr>
          <w:rFonts w:ascii="Calibri" w:hAnsi="Calibri" w:cs="Calibri"/>
          <w:b/>
          <w:bCs/>
          <w:color w:val="111111"/>
          <w:sz w:val="22"/>
          <w:szCs w:val="22"/>
        </w:rPr>
      </w:pPr>
      <w:r w:rsidRPr="00480513">
        <w:rPr>
          <w:rFonts w:ascii="Calibri" w:hAnsi="Calibri" w:cs="Calibri"/>
          <w:b/>
          <w:bCs/>
          <w:color w:val="111111"/>
          <w:sz w:val="22"/>
          <w:szCs w:val="22"/>
        </w:rPr>
        <w:t xml:space="preserve">Odgovori, ki jih ob sprejemanju EZ-2 pričakujemo od MOPE so torej: </w:t>
      </w:r>
    </w:p>
    <w:p w14:paraId="7654A08E" w14:textId="77777777" w:rsidR="0062505A" w:rsidRPr="00480513" w:rsidRDefault="0062505A" w:rsidP="0062505A">
      <w:pPr>
        <w:pStyle w:val="NormalWeb"/>
        <w:numPr>
          <w:ilvl w:val="0"/>
          <w:numId w:val="9"/>
        </w:numPr>
        <w:spacing w:before="0" w:beforeAutospacing="0" w:after="168" w:afterAutospacing="0" w:line="276" w:lineRule="auto"/>
        <w:jc w:val="both"/>
        <w:rPr>
          <w:rFonts w:ascii="Calibri" w:hAnsi="Calibri" w:cs="Calibri"/>
          <w:b/>
          <w:bCs/>
          <w:color w:val="111111"/>
          <w:sz w:val="22"/>
          <w:szCs w:val="22"/>
        </w:rPr>
      </w:pPr>
      <w:bookmarkStart w:id="7" w:name="_Hlk163568311"/>
      <w:r w:rsidRPr="00480513">
        <w:rPr>
          <w:rFonts w:ascii="Calibri" w:hAnsi="Calibri" w:cs="Calibri"/>
          <w:b/>
          <w:bCs/>
          <w:color w:val="111111"/>
          <w:sz w:val="22"/>
          <w:szCs w:val="22"/>
        </w:rPr>
        <w:t>od kje bomo pridobivali dodatno električno energijo iz OVE za nekoč plinske odjemalce, ko se bo poraba električne energije izrazito povečala v zimskem obdobju?</w:t>
      </w:r>
    </w:p>
    <w:p w14:paraId="27A04F4A" w14:textId="77777777" w:rsidR="0062505A" w:rsidRPr="00480513" w:rsidRDefault="0062505A" w:rsidP="0062505A">
      <w:pPr>
        <w:pStyle w:val="NormalWeb"/>
        <w:numPr>
          <w:ilvl w:val="0"/>
          <w:numId w:val="9"/>
        </w:numPr>
        <w:spacing w:before="0" w:beforeAutospacing="0" w:after="168" w:afterAutospacing="0" w:line="276" w:lineRule="auto"/>
        <w:jc w:val="both"/>
        <w:rPr>
          <w:rFonts w:ascii="Calibri" w:hAnsi="Calibri" w:cs="Calibri"/>
          <w:b/>
          <w:bCs/>
          <w:color w:val="111111"/>
          <w:sz w:val="22"/>
          <w:szCs w:val="22"/>
        </w:rPr>
      </w:pPr>
      <w:r w:rsidRPr="00480513">
        <w:rPr>
          <w:rFonts w:ascii="Calibri" w:hAnsi="Calibri" w:cs="Calibri"/>
          <w:b/>
          <w:bCs/>
          <w:color w:val="111111"/>
          <w:sz w:val="22"/>
          <w:szCs w:val="22"/>
        </w:rPr>
        <w:t xml:space="preserve">od kje bomo zagotovili dodatno električno energijo iz OVE po zaprtju TEŠ za zimsko obdobje? </w:t>
      </w:r>
    </w:p>
    <w:p w14:paraId="4C0E8C58" w14:textId="77777777" w:rsidR="0062505A" w:rsidRPr="00480513" w:rsidRDefault="0062505A" w:rsidP="0062505A">
      <w:pPr>
        <w:pStyle w:val="NormalWeb"/>
        <w:numPr>
          <w:ilvl w:val="0"/>
          <w:numId w:val="9"/>
        </w:numPr>
        <w:spacing w:before="0" w:beforeAutospacing="0" w:after="168" w:afterAutospacing="0" w:line="276" w:lineRule="auto"/>
        <w:jc w:val="both"/>
        <w:rPr>
          <w:rFonts w:ascii="Calibri" w:hAnsi="Calibri" w:cs="Calibri"/>
          <w:b/>
          <w:bCs/>
          <w:color w:val="111111"/>
          <w:sz w:val="22"/>
          <w:szCs w:val="22"/>
        </w:rPr>
      </w:pPr>
      <w:r w:rsidRPr="00480513">
        <w:rPr>
          <w:rFonts w:ascii="Calibri" w:hAnsi="Calibri" w:cs="Calibri"/>
          <w:b/>
          <w:bCs/>
          <w:color w:val="111111"/>
          <w:sz w:val="22"/>
          <w:szCs w:val="22"/>
        </w:rPr>
        <w:t xml:space="preserve">kako bomo v obdobju 2025 – 2034 zagotovili 4,5 milijarde EUR za posodobitev oziroma potrebna vlaganja v distribucijsko električno omrežje in </w:t>
      </w:r>
    </w:p>
    <w:p w14:paraId="652AEA3A" w14:textId="77777777" w:rsidR="0062505A" w:rsidRPr="00480513" w:rsidRDefault="0062505A" w:rsidP="0062505A">
      <w:pPr>
        <w:pStyle w:val="NormalWeb"/>
        <w:numPr>
          <w:ilvl w:val="0"/>
          <w:numId w:val="9"/>
        </w:numPr>
        <w:spacing w:before="0" w:beforeAutospacing="0" w:after="168" w:afterAutospacing="0" w:line="276" w:lineRule="auto"/>
        <w:jc w:val="both"/>
        <w:rPr>
          <w:rFonts w:ascii="Calibri" w:hAnsi="Calibri" w:cs="Calibri"/>
          <w:b/>
          <w:bCs/>
          <w:color w:val="111111"/>
          <w:sz w:val="22"/>
          <w:szCs w:val="22"/>
        </w:rPr>
      </w:pPr>
      <w:bookmarkStart w:id="8" w:name="_Hlk163568325"/>
      <w:bookmarkEnd w:id="7"/>
      <w:r w:rsidRPr="00480513">
        <w:rPr>
          <w:rFonts w:ascii="Calibri" w:hAnsi="Calibri" w:cs="Calibri"/>
          <w:b/>
          <w:bCs/>
          <w:color w:val="111111"/>
          <w:sz w:val="22"/>
          <w:szCs w:val="22"/>
        </w:rPr>
        <w:lastRenderedPageBreak/>
        <w:t>kakšna bo omrežnina leta 2030, 2032 in 2034</w:t>
      </w:r>
      <w:r w:rsidRPr="00480513">
        <w:rPr>
          <w:rStyle w:val="FootnoteReference"/>
          <w:rFonts w:ascii="Calibri" w:hAnsi="Calibri" w:cs="Calibri"/>
          <w:b/>
          <w:bCs/>
          <w:color w:val="111111"/>
          <w:sz w:val="22"/>
          <w:szCs w:val="22"/>
        </w:rPr>
        <w:footnoteReference w:id="3"/>
      </w:r>
      <w:r w:rsidRPr="00480513">
        <w:rPr>
          <w:rFonts w:ascii="Calibri" w:hAnsi="Calibri" w:cs="Calibri"/>
          <w:b/>
          <w:bCs/>
          <w:color w:val="111111"/>
          <w:sz w:val="22"/>
          <w:szCs w:val="22"/>
        </w:rPr>
        <w:t>.</w:t>
      </w:r>
    </w:p>
    <w:bookmarkEnd w:id="8"/>
    <w:p w14:paraId="3A68A03E" w14:textId="77777777" w:rsidR="0062505A" w:rsidRPr="00480513" w:rsidRDefault="0062505A" w:rsidP="0062505A">
      <w:pPr>
        <w:pStyle w:val="NormalWeb"/>
        <w:spacing w:before="0" w:beforeAutospacing="0" w:after="168" w:afterAutospacing="0" w:line="276" w:lineRule="auto"/>
        <w:jc w:val="both"/>
        <w:rPr>
          <w:rFonts w:ascii="Calibri" w:hAnsi="Calibri" w:cs="Calibri"/>
          <w:color w:val="111111"/>
          <w:sz w:val="22"/>
          <w:szCs w:val="22"/>
        </w:rPr>
      </w:pPr>
      <w:r w:rsidRPr="00480513">
        <w:rPr>
          <w:rFonts w:ascii="Calibri" w:hAnsi="Calibri" w:cs="Calibri"/>
          <w:color w:val="111111"/>
          <w:sz w:val="22"/>
          <w:szCs w:val="22"/>
        </w:rPr>
        <w:t>Če bomo uporabili plinovodno omrežje za zeleni prehod, je možno navedeni znesek 4,5 milijarde EUR znižati, v nasprotnem primeru pa bo le ta še višji.</w:t>
      </w:r>
    </w:p>
    <w:p w14:paraId="5AD836F3" w14:textId="77777777" w:rsidR="0062505A" w:rsidRPr="00480513" w:rsidRDefault="0062505A" w:rsidP="0062505A">
      <w:pPr>
        <w:spacing w:line="276" w:lineRule="auto"/>
        <w:jc w:val="both"/>
        <w:rPr>
          <w:rFonts w:ascii="Calibri" w:hAnsi="Calibri" w:cs="Calibri"/>
          <w:b/>
          <w:bCs/>
          <w:color w:val="111111"/>
          <w:sz w:val="24"/>
          <w:szCs w:val="24"/>
        </w:rPr>
      </w:pPr>
    </w:p>
    <w:p w14:paraId="33C0EC9B" w14:textId="77777777" w:rsidR="0062505A" w:rsidRPr="00480513" w:rsidRDefault="0062505A" w:rsidP="0062505A">
      <w:pPr>
        <w:pStyle w:val="ListParagraph"/>
        <w:numPr>
          <w:ilvl w:val="0"/>
          <w:numId w:val="8"/>
        </w:numPr>
        <w:spacing w:line="276" w:lineRule="auto"/>
        <w:jc w:val="both"/>
        <w:rPr>
          <w:rFonts w:ascii="Calibri" w:hAnsi="Calibri" w:cs="Calibri"/>
          <w:b/>
          <w:bCs/>
          <w:color w:val="111111"/>
          <w:sz w:val="24"/>
          <w:szCs w:val="24"/>
        </w:rPr>
      </w:pPr>
      <w:r w:rsidRPr="00480513">
        <w:rPr>
          <w:rFonts w:ascii="Calibri" w:hAnsi="Calibri" w:cs="Calibri"/>
          <w:b/>
          <w:bCs/>
          <w:color w:val="111111"/>
          <w:sz w:val="24"/>
          <w:szCs w:val="24"/>
        </w:rPr>
        <w:t>Plini niso ovira za zeleni prehod</w:t>
      </w:r>
    </w:p>
    <w:p w14:paraId="0B41D878" w14:textId="77777777" w:rsidR="0062505A" w:rsidRPr="00480513" w:rsidRDefault="0062505A" w:rsidP="0062505A">
      <w:pPr>
        <w:pStyle w:val="NormalWeb"/>
        <w:spacing w:before="0" w:beforeAutospacing="0" w:after="168" w:afterAutospacing="0" w:line="276" w:lineRule="auto"/>
        <w:jc w:val="both"/>
        <w:rPr>
          <w:rFonts w:ascii="Calibri" w:hAnsi="Calibri" w:cs="Calibri"/>
          <w:color w:val="111111"/>
          <w:sz w:val="22"/>
          <w:szCs w:val="22"/>
        </w:rPr>
      </w:pPr>
      <w:bookmarkStart w:id="9" w:name="_Hlk163566713"/>
      <w:r w:rsidRPr="00480513">
        <w:rPr>
          <w:rFonts w:ascii="Calibri" w:hAnsi="Calibri" w:cs="Calibri"/>
          <w:color w:val="111111"/>
          <w:sz w:val="22"/>
          <w:szCs w:val="22"/>
        </w:rPr>
        <w:t xml:space="preserve">Že danes slovenska gospodinjstva oziroma 121.000 odjemalcev zemeljskega plina </w:t>
      </w:r>
      <w:r w:rsidRPr="00480513">
        <w:rPr>
          <w:rFonts w:ascii="Calibri" w:hAnsi="Calibri" w:cs="Calibri"/>
          <w:b/>
          <w:bCs/>
          <w:color w:val="111111"/>
          <w:sz w:val="22"/>
          <w:szCs w:val="22"/>
        </w:rPr>
        <w:t>prispeva k skupnim emisijam CO</w:t>
      </w:r>
      <w:r w:rsidRPr="00480513">
        <w:rPr>
          <w:rFonts w:ascii="Calibri" w:hAnsi="Calibri" w:cs="Calibri"/>
          <w:b/>
          <w:bCs/>
          <w:color w:val="111111"/>
          <w:sz w:val="16"/>
          <w:szCs w:val="16"/>
        </w:rPr>
        <w:t>2</w:t>
      </w:r>
      <w:r w:rsidRPr="00480513">
        <w:rPr>
          <w:rFonts w:ascii="Calibri" w:hAnsi="Calibri" w:cs="Calibri"/>
          <w:b/>
          <w:bCs/>
          <w:color w:val="111111"/>
          <w:sz w:val="22"/>
          <w:szCs w:val="22"/>
        </w:rPr>
        <w:t xml:space="preserve"> zgolj 1,95%.</w:t>
      </w:r>
      <w:r w:rsidRPr="00480513">
        <w:rPr>
          <w:rFonts w:ascii="Calibri" w:hAnsi="Calibri" w:cs="Calibri"/>
          <w:color w:val="111111"/>
          <w:sz w:val="22"/>
          <w:szCs w:val="22"/>
        </w:rPr>
        <w:t xml:space="preserve"> Toda plinsko gospodarstvo se enako kot Vlada zaveda, da je treba izvajati aktivnosti, ki bodo olajšale zeleni prehod. Zato si prizadevamo za postopno </w:t>
      </w:r>
      <w:proofErr w:type="spellStart"/>
      <w:r w:rsidRPr="00480513">
        <w:rPr>
          <w:rFonts w:ascii="Calibri" w:hAnsi="Calibri" w:cs="Calibri"/>
          <w:color w:val="111111"/>
          <w:sz w:val="22"/>
          <w:szCs w:val="22"/>
        </w:rPr>
        <w:t>razogličenje</w:t>
      </w:r>
      <w:proofErr w:type="spellEnd"/>
      <w:r w:rsidRPr="00480513">
        <w:rPr>
          <w:rFonts w:ascii="Calibri" w:hAnsi="Calibri" w:cs="Calibri"/>
          <w:color w:val="111111"/>
          <w:sz w:val="22"/>
          <w:szCs w:val="22"/>
        </w:rPr>
        <w:t xml:space="preserve"> oskrbe s plinom in za vzpostavitev regulatornega in podpornega okolja za nadomestne pline v omrežju zemeljskega plina.</w:t>
      </w:r>
    </w:p>
    <w:p w14:paraId="781A251E" w14:textId="77777777" w:rsidR="0062505A" w:rsidRPr="00480513" w:rsidRDefault="0062505A" w:rsidP="0062505A">
      <w:pPr>
        <w:pStyle w:val="NormalWeb"/>
        <w:spacing w:before="0" w:beforeAutospacing="0" w:after="168" w:afterAutospacing="0" w:line="276" w:lineRule="auto"/>
        <w:jc w:val="both"/>
        <w:rPr>
          <w:rFonts w:ascii="Calibri" w:hAnsi="Calibri" w:cs="Calibri"/>
          <w:color w:val="111111"/>
          <w:sz w:val="22"/>
          <w:szCs w:val="22"/>
        </w:rPr>
      </w:pPr>
      <w:r w:rsidRPr="00480513">
        <w:rPr>
          <w:rFonts w:ascii="Calibri" w:hAnsi="Calibri" w:cs="Calibri"/>
          <w:color w:val="111111"/>
          <w:sz w:val="22"/>
          <w:szCs w:val="22"/>
        </w:rPr>
        <w:t xml:space="preserve">V skladu z zakonodajo EU in nacionalno zakonodajo bi morali namreč razvijati trg nadomestnih plinov obnovljivega izvora, kot so vodik, sintetični metan in </w:t>
      </w:r>
      <w:proofErr w:type="spellStart"/>
      <w:r w:rsidRPr="00480513">
        <w:rPr>
          <w:rFonts w:ascii="Calibri" w:hAnsi="Calibri" w:cs="Calibri"/>
          <w:color w:val="111111"/>
          <w:sz w:val="22"/>
          <w:szCs w:val="22"/>
        </w:rPr>
        <w:t>biometan</w:t>
      </w:r>
      <w:proofErr w:type="spellEnd"/>
      <w:r w:rsidRPr="00480513">
        <w:rPr>
          <w:rFonts w:ascii="Calibri" w:hAnsi="Calibri" w:cs="Calibri"/>
          <w:color w:val="111111"/>
          <w:sz w:val="22"/>
          <w:szCs w:val="22"/>
        </w:rPr>
        <w:t xml:space="preserve">. </w:t>
      </w:r>
    </w:p>
    <w:p w14:paraId="1E0EF293" w14:textId="77777777" w:rsidR="0062505A" w:rsidRPr="00480513" w:rsidRDefault="0062505A" w:rsidP="0062505A">
      <w:pPr>
        <w:pStyle w:val="NormalWeb"/>
        <w:spacing w:before="0" w:beforeAutospacing="0" w:after="168" w:afterAutospacing="0" w:line="276" w:lineRule="auto"/>
        <w:jc w:val="both"/>
        <w:rPr>
          <w:rFonts w:ascii="Calibri" w:hAnsi="Calibri" w:cs="Calibri"/>
          <w:color w:val="111111"/>
          <w:sz w:val="22"/>
          <w:szCs w:val="22"/>
        </w:rPr>
      </w:pPr>
      <w:r w:rsidRPr="00480513">
        <w:rPr>
          <w:rFonts w:ascii="Calibri" w:hAnsi="Calibri" w:cs="Calibri"/>
          <w:color w:val="111111"/>
          <w:sz w:val="22"/>
          <w:szCs w:val="22"/>
        </w:rPr>
        <w:t xml:space="preserve">Viri za </w:t>
      </w:r>
      <w:proofErr w:type="spellStart"/>
      <w:r w:rsidRPr="00480513">
        <w:rPr>
          <w:rFonts w:ascii="Calibri" w:hAnsi="Calibri" w:cs="Calibri"/>
          <w:color w:val="111111"/>
          <w:sz w:val="22"/>
          <w:szCs w:val="22"/>
        </w:rPr>
        <w:t>biometan</w:t>
      </w:r>
      <w:proofErr w:type="spellEnd"/>
      <w:r w:rsidRPr="00480513">
        <w:rPr>
          <w:rFonts w:ascii="Calibri" w:hAnsi="Calibri" w:cs="Calibri"/>
          <w:color w:val="111111"/>
          <w:sz w:val="22"/>
          <w:szCs w:val="22"/>
        </w:rPr>
        <w:t xml:space="preserve"> (</w:t>
      </w:r>
      <w:proofErr w:type="spellStart"/>
      <w:r w:rsidRPr="00480513">
        <w:rPr>
          <w:rFonts w:ascii="Calibri" w:hAnsi="Calibri" w:cs="Calibri"/>
          <w:color w:val="111111"/>
          <w:sz w:val="22"/>
          <w:szCs w:val="22"/>
        </w:rPr>
        <w:t>biometan</w:t>
      </w:r>
      <w:proofErr w:type="spellEnd"/>
      <w:r w:rsidRPr="00480513">
        <w:rPr>
          <w:rFonts w:ascii="Calibri" w:hAnsi="Calibri" w:cs="Calibri"/>
          <w:color w:val="111111"/>
          <w:sz w:val="22"/>
          <w:szCs w:val="22"/>
        </w:rPr>
        <w:t xml:space="preserve"> je po sestavi identičen zemeljskemu plinu, tehnologije za njegovo proizvodnjo so razvite, preizkušene in dobro delujejo), so vsi organski materiali, ki vsebujejo zadosten delež ogljika. To so na primer organski kuhinjski odpadki, biološki odpadki (rjavi zabojniki), mulji iz živilsko predelovalne industrije in blata komunalnih čistilnih naprav, odpadki iz živilsko predelovalne industrije, klavniški odpadki in odpadki iz trgovin. </w:t>
      </w:r>
    </w:p>
    <w:p w14:paraId="3E7CC2DA" w14:textId="77777777" w:rsidR="0062505A" w:rsidRPr="00480513" w:rsidRDefault="0062505A" w:rsidP="0062505A">
      <w:pPr>
        <w:pStyle w:val="NormalWeb"/>
        <w:spacing w:before="0" w:beforeAutospacing="0" w:after="168" w:afterAutospacing="0" w:line="276" w:lineRule="auto"/>
        <w:jc w:val="both"/>
        <w:rPr>
          <w:rFonts w:ascii="Calibri" w:hAnsi="Calibri" w:cs="Calibri"/>
          <w:color w:val="111111"/>
          <w:sz w:val="22"/>
          <w:szCs w:val="22"/>
        </w:rPr>
      </w:pPr>
      <w:r w:rsidRPr="00480513">
        <w:rPr>
          <w:rFonts w:ascii="Calibri" w:hAnsi="Calibri" w:cs="Calibri"/>
          <w:color w:val="111111"/>
          <w:sz w:val="22"/>
          <w:szCs w:val="22"/>
        </w:rPr>
        <w:t>Po študiji, ki jo izdeluje Kmetijsko gozdarski zavod Celje »</w:t>
      </w:r>
      <w:r w:rsidRPr="00480513">
        <w:rPr>
          <w:rFonts w:ascii="Calibri" w:hAnsi="Calibri" w:cs="Calibri"/>
          <w:b/>
          <w:bCs/>
          <w:color w:val="111111"/>
          <w:sz w:val="22"/>
          <w:szCs w:val="22"/>
        </w:rPr>
        <w:t xml:space="preserve">Ocena potenciala </w:t>
      </w:r>
      <w:proofErr w:type="spellStart"/>
      <w:r w:rsidRPr="00480513">
        <w:rPr>
          <w:rFonts w:ascii="Calibri" w:hAnsi="Calibri" w:cs="Calibri"/>
          <w:b/>
          <w:bCs/>
          <w:color w:val="111111"/>
          <w:sz w:val="22"/>
          <w:szCs w:val="22"/>
        </w:rPr>
        <w:t>biometana</w:t>
      </w:r>
      <w:proofErr w:type="spellEnd"/>
      <w:r w:rsidRPr="00480513">
        <w:rPr>
          <w:rFonts w:ascii="Calibri" w:hAnsi="Calibri" w:cs="Calibri"/>
          <w:b/>
          <w:bCs/>
          <w:color w:val="111111"/>
          <w:sz w:val="22"/>
          <w:szCs w:val="22"/>
        </w:rPr>
        <w:t xml:space="preserve"> iz kmetijstva«</w:t>
      </w:r>
      <w:r w:rsidRPr="00480513">
        <w:rPr>
          <w:rFonts w:ascii="Calibri" w:hAnsi="Calibri" w:cs="Calibri"/>
          <w:color w:val="111111"/>
          <w:sz w:val="22"/>
          <w:szCs w:val="22"/>
        </w:rPr>
        <w:t xml:space="preserve"> in bo zaključena konec aprila, imamo v Sloveniji v kmetijstvu dva ključna vira </w:t>
      </w:r>
      <w:proofErr w:type="spellStart"/>
      <w:r w:rsidRPr="00480513">
        <w:rPr>
          <w:rFonts w:ascii="Calibri" w:hAnsi="Calibri" w:cs="Calibri"/>
          <w:color w:val="111111"/>
          <w:sz w:val="22"/>
          <w:szCs w:val="22"/>
        </w:rPr>
        <w:t>biometana</w:t>
      </w:r>
      <w:proofErr w:type="spellEnd"/>
      <w:r w:rsidRPr="00480513">
        <w:rPr>
          <w:rFonts w:ascii="Calibri" w:hAnsi="Calibri" w:cs="Calibri"/>
          <w:color w:val="111111"/>
          <w:sz w:val="22"/>
          <w:szCs w:val="22"/>
        </w:rPr>
        <w:t xml:space="preserve"> in sicer živinska gnojila ter rastlinsko biomaso, ki bi jo pridobili iz naknadnih oziroma prezimnih posevkov na njivah in iz travinja, ne da bi kakorkoli ogrožali pridelavo hrane in krme za živino. Preliminarna ocena Kmetijsko gozdarskega zavoda Celje je, da bi lahko pridobili iz živinskih gnojil 50 mio m³ </w:t>
      </w:r>
      <w:proofErr w:type="spellStart"/>
      <w:r w:rsidRPr="00480513">
        <w:rPr>
          <w:rFonts w:ascii="Calibri" w:hAnsi="Calibri" w:cs="Calibri"/>
          <w:color w:val="111111"/>
          <w:sz w:val="22"/>
          <w:szCs w:val="22"/>
        </w:rPr>
        <w:t>biometana</w:t>
      </w:r>
      <w:proofErr w:type="spellEnd"/>
      <w:r w:rsidRPr="00480513">
        <w:rPr>
          <w:rFonts w:ascii="Calibri" w:hAnsi="Calibri" w:cs="Calibri"/>
          <w:color w:val="111111"/>
          <w:sz w:val="22"/>
          <w:szCs w:val="22"/>
        </w:rPr>
        <w:t xml:space="preserve">, iz rastlinske biomase pa 170 mio m³ </w:t>
      </w:r>
      <w:proofErr w:type="spellStart"/>
      <w:r w:rsidRPr="00480513">
        <w:rPr>
          <w:rFonts w:ascii="Calibri" w:hAnsi="Calibri" w:cs="Calibri"/>
          <w:color w:val="111111"/>
          <w:sz w:val="22"/>
          <w:szCs w:val="22"/>
        </w:rPr>
        <w:t>biometana</w:t>
      </w:r>
      <w:proofErr w:type="spellEnd"/>
      <w:r w:rsidRPr="00480513">
        <w:rPr>
          <w:rFonts w:ascii="Calibri" w:hAnsi="Calibri" w:cs="Calibri"/>
          <w:color w:val="111111"/>
          <w:sz w:val="22"/>
          <w:szCs w:val="22"/>
        </w:rPr>
        <w:t xml:space="preserve">. </w:t>
      </w:r>
      <w:r w:rsidRPr="00480513">
        <w:rPr>
          <w:rFonts w:ascii="Calibri" w:hAnsi="Calibri" w:cs="Calibri"/>
          <w:b/>
          <w:bCs/>
          <w:color w:val="111111"/>
          <w:sz w:val="22"/>
          <w:szCs w:val="22"/>
        </w:rPr>
        <w:t xml:space="preserve">Skupaj torej 220 mio m³ </w:t>
      </w:r>
      <w:proofErr w:type="spellStart"/>
      <w:r w:rsidRPr="00480513">
        <w:rPr>
          <w:rFonts w:ascii="Calibri" w:hAnsi="Calibri" w:cs="Calibri"/>
          <w:b/>
          <w:bCs/>
          <w:color w:val="111111"/>
          <w:sz w:val="22"/>
          <w:szCs w:val="22"/>
        </w:rPr>
        <w:t>biometana</w:t>
      </w:r>
      <w:proofErr w:type="spellEnd"/>
      <w:r w:rsidRPr="00480513">
        <w:rPr>
          <w:rFonts w:ascii="Calibri" w:hAnsi="Calibri" w:cs="Calibri"/>
          <w:color w:val="111111"/>
          <w:sz w:val="22"/>
          <w:szCs w:val="22"/>
        </w:rPr>
        <w:t>.</w:t>
      </w:r>
    </w:p>
    <w:p w14:paraId="534BE9AE" w14:textId="77777777" w:rsidR="0062505A" w:rsidRPr="00480513" w:rsidRDefault="0062505A" w:rsidP="0062505A">
      <w:pPr>
        <w:spacing w:line="276" w:lineRule="auto"/>
        <w:jc w:val="both"/>
        <w:rPr>
          <w:rFonts w:ascii="Calibri" w:hAnsi="Calibri" w:cs="Calibri"/>
          <w:color w:val="111111"/>
        </w:rPr>
      </w:pPr>
      <w:r w:rsidRPr="00480513">
        <w:rPr>
          <w:rFonts w:ascii="Calibri" w:hAnsi="Calibri" w:cs="Calibri"/>
          <w:color w:val="111111"/>
        </w:rPr>
        <w:t xml:space="preserve">Slovenija ima torej vse možnosti in ustrezno okolje za proizvodnjo obnovljivih plinov, saj bi lahko samo z obstoječimi </w:t>
      </w:r>
      <w:proofErr w:type="spellStart"/>
      <w:r w:rsidRPr="00480513">
        <w:rPr>
          <w:rFonts w:ascii="Calibri" w:hAnsi="Calibri" w:cs="Calibri"/>
          <w:color w:val="111111"/>
        </w:rPr>
        <w:t>bioplinarnami</w:t>
      </w:r>
      <w:proofErr w:type="spellEnd"/>
      <w:r w:rsidRPr="00480513">
        <w:rPr>
          <w:rFonts w:ascii="Calibri" w:hAnsi="Calibri" w:cs="Calibri"/>
          <w:color w:val="111111"/>
        </w:rPr>
        <w:t xml:space="preserve"> (ob prečiščenju bioplina na </w:t>
      </w:r>
      <w:proofErr w:type="spellStart"/>
      <w:r w:rsidRPr="00480513">
        <w:rPr>
          <w:rFonts w:ascii="Calibri" w:hAnsi="Calibri" w:cs="Calibri"/>
          <w:color w:val="111111"/>
        </w:rPr>
        <w:t>biometan</w:t>
      </w:r>
      <w:proofErr w:type="spellEnd"/>
      <w:r w:rsidRPr="00480513">
        <w:rPr>
          <w:rFonts w:ascii="Calibri" w:hAnsi="Calibri" w:cs="Calibri"/>
          <w:color w:val="111111"/>
        </w:rPr>
        <w:t xml:space="preserve">) in z viri iz kmetijstva pridobili </w:t>
      </w:r>
      <w:r w:rsidRPr="00480513">
        <w:rPr>
          <w:rFonts w:ascii="Calibri" w:hAnsi="Calibri" w:cs="Calibri"/>
          <w:b/>
          <w:bCs/>
          <w:color w:val="111111"/>
        </w:rPr>
        <w:t>330% potrebnega plina za gospodinjstva</w:t>
      </w:r>
      <w:r w:rsidRPr="00480513">
        <w:rPr>
          <w:rFonts w:ascii="Calibri" w:hAnsi="Calibri" w:cs="Calibri"/>
          <w:color w:val="111111"/>
        </w:rPr>
        <w:t xml:space="preserve"> in ob predpostavki, da se bo poraba plina zaradi ukrepov učinkovite rabe energije (izolacije, menjave oken, nizko energetska gradnja) znižala za 20%. Seveda pa imajo določen potencial še drugi viri za </w:t>
      </w:r>
      <w:proofErr w:type="spellStart"/>
      <w:r w:rsidRPr="00480513">
        <w:rPr>
          <w:rFonts w:ascii="Calibri" w:hAnsi="Calibri" w:cs="Calibri"/>
          <w:color w:val="111111"/>
        </w:rPr>
        <w:t>biometan</w:t>
      </w:r>
      <w:proofErr w:type="spellEnd"/>
      <w:r w:rsidRPr="00480513">
        <w:rPr>
          <w:rFonts w:ascii="Calibri" w:hAnsi="Calibri" w:cs="Calibri"/>
          <w:color w:val="111111"/>
        </w:rPr>
        <w:t xml:space="preserve"> in v nekem </w:t>
      </w:r>
      <w:r>
        <w:rPr>
          <w:rFonts w:ascii="Calibri" w:hAnsi="Calibri" w:cs="Calibri"/>
          <w:color w:val="111111"/>
        </w:rPr>
        <w:t xml:space="preserve">srednjeročnem </w:t>
      </w:r>
      <w:r w:rsidRPr="00480513">
        <w:rPr>
          <w:rFonts w:ascii="Calibri" w:hAnsi="Calibri" w:cs="Calibri"/>
          <w:color w:val="111111"/>
        </w:rPr>
        <w:t>obdobju se bo v plinovodno omrežje dodajal tudi vodik.</w:t>
      </w:r>
    </w:p>
    <w:p w14:paraId="225092CD" w14:textId="77777777" w:rsidR="0062505A" w:rsidRPr="00480513" w:rsidRDefault="0062505A" w:rsidP="0062505A">
      <w:pPr>
        <w:spacing w:line="276" w:lineRule="auto"/>
        <w:jc w:val="both"/>
        <w:rPr>
          <w:rFonts w:ascii="Calibri" w:hAnsi="Calibri" w:cs="Calibri"/>
          <w:color w:val="111111"/>
        </w:rPr>
      </w:pPr>
      <w:proofErr w:type="spellStart"/>
      <w:r w:rsidRPr="00480513">
        <w:rPr>
          <w:rFonts w:ascii="Calibri" w:hAnsi="Calibri" w:cs="Calibri"/>
          <w:color w:val="111111"/>
        </w:rPr>
        <w:t>Biometan</w:t>
      </w:r>
      <w:proofErr w:type="spellEnd"/>
      <w:r w:rsidRPr="00480513">
        <w:rPr>
          <w:rFonts w:ascii="Calibri" w:hAnsi="Calibri" w:cs="Calibri"/>
          <w:color w:val="111111"/>
        </w:rPr>
        <w:t xml:space="preserve"> je obnovljiv vir energije in se lahko sezonsko hrani, kar pomeni, da se lahko viške iz poletja prenese na zimska obdobja, ko se zaradi ogrevanja izrazito poveča raba energije. Zato je </w:t>
      </w:r>
      <w:proofErr w:type="spellStart"/>
      <w:r w:rsidRPr="00480513">
        <w:rPr>
          <w:rFonts w:ascii="Calibri" w:hAnsi="Calibri" w:cs="Calibri"/>
          <w:color w:val="111111"/>
        </w:rPr>
        <w:t>biometan</w:t>
      </w:r>
      <w:proofErr w:type="spellEnd"/>
      <w:r w:rsidRPr="00480513">
        <w:rPr>
          <w:rFonts w:ascii="Calibri" w:hAnsi="Calibri" w:cs="Calibri"/>
          <w:color w:val="111111"/>
        </w:rPr>
        <w:t xml:space="preserve"> imenujemo tudi »</w:t>
      </w:r>
      <w:r w:rsidRPr="00480513">
        <w:rPr>
          <w:rFonts w:ascii="Calibri" w:hAnsi="Calibri" w:cs="Calibri"/>
          <w:b/>
          <w:color w:val="111111"/>
        </w:rPr>
        <w:t>sezonski hranilnik energije</w:t>
      </w:r>
      <w:r w:rsidRPr="00480513">
        <w:rPr>
          <w:rFonts w:ascii="Calibri" w:hAnsi="Calibri" w:cs="Calibri"/>
          <w:color w:val="111111"/>
        </w:rPr>
        <w:t>«.</w:t>
      </w:r>
    </w:p>
    <w:p w14:paraId="081C8D1B" w14:textId="663CBD35" w:rsidR="0062505A" w:rsidRDefault="0062505A">
      <w:pPr>
        <w:rPr>
          <w:rFonts w:ascii="Calibri" w:hAnsi="Calibri" w:cs="Calibri"/>
          <w:b/>
          <w:bCs/>
          <w:color w:val="111111"/>
        </w:rPr>
      </w:pPr>
      <w:r>
        <w:rPr>
          <w:rFonts w:ascii="Calibri" w:hAnsi="Calibri" w:cs="Calibri"/>
          <w:b/>
          <w:bCs/>
          <w:color w:val="111111"/>
        </w:rPr>
        <w:br w:type="page"/>
      </w:r>
    </w:p>
    <w:bookmarkEnd w:id="9"/>
    <w:p w14:paraId="43337E5C" w14:textId="77777777" w:rsidR="0062505A" w:rsidRPr="00480513" w:rsidRDefault="0062505A" w:rsidP="0062505A">
      <w:pPr>
        <w:spacing w:line="276" w:lineRule="auto"/>
        <w:jc w:val="both"/>
        <w:rPr>
          <w:rFonts w:ascii="Calibri" w:hAnsi="Calibri" w:cs="Calibri"/>
          <w:b/>
          <w:bCs/>
          <w:color w:val="111111"/>
        </w:rPr>
      </w:pPr>
    </w:p>
    <w:p w14:paraId="4A5DF4FD" w14:textId="77777777" w:rsidR="0062505A" w:rsidRPr="00480513" w:rsidRDefault="0062505A" w:rsidP="0062505A">
      <w:pPr>
        <w:pStyle w:val="ListParagraph"/>
        <w:numPr>
          <w:ilvl w:val="0"/>
          <w:numId w:val="8"/>
        </w:numPr>
        <w:spacing w:line="276" w:lineRule="auto"/>
        <w:jc w:val="both"/>
        <w:rPr>
          <w:rFonts w:ascii="Calibri" w:hAnsi="Calibri" w:cs="Calibri"/>
          <w:b/>
          <w:bCs/>
          <w:color w:val="111111"/>
          <w:sz w:val="24"/>
          <w:szCs w:val="24"/>
        </w:rPr>
      </w:pPr>
      <w:r w:rsidRPr="00480513">
        <w:rPr>
          <w:rFonts w:ascii="Calibri" w:hAnsi="Calibri" w:cs="Calibri"/>
          <w:b/>
          <w:bCs/>
          <w:color w:val="111111"/>
          <w:sz w:val="24"/>
          <w:szCs w:val="24"/>
        </w:rPr>
        <w:t>Ključna ovira za (ne) spodbujanje plina iz obnovljivih virov energije</w:t>
      </w:r>
    </w:p>
    <w:p w14:paraId="118C5FE3" w14:textId="77777777" w:rsidR="0062505A" w:rsidRPr="00480513" w:rsidRDefault="0062505A" w:rsidP="0062505A">
      <w:pPr>
        <w:pStyle w:val="ListParagraph"/>
        <w:spacing w:line="276" w:lineRule="auto"/>
        <w:ind w:left="426"/>
        <w:jc w:val="both"/>
        <w:rPr>
          <w:rFonts w:ascii="Calibri" w:hAnsi="Calibri" w:cs="Calibri"/>
          <w:b/>
          <w:bCs/>
          <w:color w:val="111111"/>
          <w:sz w:val="24"/>
          <w:szCs w:val="24"/>
        </w:rPr>
      </w:pPr>
    </w:p>
    <w:p w14:paraId="51473000" w14:textId="77777777" w:rsidR="0062505A" w:rsidRPr="00480513" w:rsidRDefault="0062505A" w:rsidP="0062505A">
      <w:pPr>
        <w:spacing w:line="276" w:lineRule="auto"/>
        <w:jc w:val="both"/>
        <w:rPr>
          <w:rFonts w:ascii="Calibri" w:hAnsi="Calibri" w:cs="Calibri"/>
          <w:color w:val="111111"/>
        </w:rPr>
      </w:pPr>
      <w:r w:rsidRPr="00480513">
        <w:rPr>
          <w:rFonts w:ascii="Calibri" w:hAnsi="Calibri" w:cs="Calibri"/>
          <w:color w:val="111111"/>
        </w:rPr>
        <w:t xml:space="preserve">Za razvoj plinov obnovljivega razvoja pa je treba vzpostaviti ustrezno okolje. Na področju proizvodnje električne energije je tako okolje že vzpostavljeno. </w:t>
      </w:r>
    </w:p>
    <w:p w14:paraId="3309541B" w14:textId="77777777" w:rsidR="0062505A" w:rsidRPr="00480513" w:rsidRDefault="0062505A" w:rsidP="0062505A">
      <w:pPr>
        <w:pStyle w:val="NormalWeb"/>
        <w:spacing w:before="0" w:beforeAutospacing="0" w:after="168" w:afterAutospacing="0" w:line="276" w:lineRule="auto"/>
        <w:jc w:val="both"/>
        <w:rPr>
          <w:rFonts w:ascii="Calibri" w:eastAsiaTheme="minorHAnsi" w:hAnsi="Calibri" w:cs="Calibri"/>
          <w:color w:val="111111"/>
          <w:kern w:val="2"/>
          <w:sz w:val="22"/>
          <w:szCs w:val="22"/>
          <w14:ligatures w14:val="standardContextual"/>
        </w:rPr>
      </w:pPr>
      <w:r w:rsidRPr="00480513">
        <w:rPr>
          <w:rFonts w:ascii="Calibri" w:eastAsiaTheme="minorHAnsi" w:hAnsi="Calibri" w:cs="Calibri"/>
          <w:color w:val="111111"/>
          <w:kern w:val="2"/>
          <w:sz w:val="22"/>
          <w:szCs w:val="22"/>
          <w14:ligatures w14:val="standardContextual"/>
        </w:rPr>
        <w:t>Za proizvodnjo obnovljivih virov v Sloveniji že dalj časa zbiramo sredstva (npr. Prispevek za zagotavljanje podpore proizvodnji električne energije iz OVE in SPTE ). Zavezanci za plačilo tega prispevka niso samo vsi končni odjemalci električne energije, ampak tudi končni odjemalci trdnih, tekočih, plinastih fosilnih goriv ali daljinske toplote za končno rabo.</w:t>
      </w:r>
    </w:p>
    <w:p w14:paraId="07EC5D10" w14:textId="77777777" w:rsidR="0062505A" w:rsidRPr="00480513" w:rsidRDefault="0062505A" w:rsidP="0062505A">
      <w:pPr>
        <w:pStyle w:val="NormalWeb"/>
        <w:spacing w:before="0" w:beforeAutospacing="0" w:after="168" w:afterAutospacing="0" w:line="276" w:lineRule="auto"/>
        <w:jc w:val="both"/>
        <w:rPr>
          <w:rFonts w:ascii="Calibri" w:eastAsiaTheme="minorHAnsi" w:hAnsi="Calibri" w:cs="Calibri"/>
          <w:color w:val="111111"/>
          <w:kern w:val="2"/>
          <w:sz w:val="22"/>
          <w:szCs w:val="22"/>
          <w14:ligatures w14:val="standardContextual"/>
        </w:rPr>
      </w:pPr>
      <w:r w:rsidRPr="00480513">
        <w:rPr>
          <w:rFonts w:ascii="Calibri" w:eastAsiaTheme="minorHAnsi" w:hAnsi="Calibri" w:cs="Calibri"/>
          <w:color w:val="111111"/>
          <w:kern w:val="2"/>
          <w:sz w:val="22"/>
          <w:szCs w:val="22"/>
          <w14:ligatures w14:val="standardContextual"/>
        </w:rPr>
        <w:t>Vendar se večina tega denarja porabi le za podporo proizvodnji električne energije iz OVE in SPTE. Do konca leta 2022 je bilo za proizvodnjo elektrike iz podporne sheme tako porabljeno kar 1.522,4 mio EUR. Za podporo proizvodnji obnovljivih plinov pa v vseh teh letih ni bilo namenjenih še niti centa.</w:t>
      </w:r>
    </w:p>
    <w:p w14:paraId="11BAECB5" w14:textId="77777777" w:rsidR="0062505A" w:rsidRPr="00480513" w:rsidRDefault="0062505A" w:rsidP="0062505A">
      <w:pPr>
        <w:pStyle w:val="NormalWeb"/>
        <w:spacing w:before="0" w:beforeAutospacing="0" w:after="168" w:afterAutospacing="0" w:line="276" w:lineRule="auto"/>
        <w:jc w:val="both"/>
        <w:rPr>
          <w:rFonts w:ascii="Calibri" w:eastAsiaTheme="minorHAnsi" w:hAnsi="Calibri" w:cs="Calibri"/>
          <w:color w:val="111111"/>
          <w:kern w:val="2"/>
          <w:sz w:val="22"/>
          <w:szCs w:val="22"/>
          <w14:ligatures w14:val="standardContextual"/>
        </w:rPr>
      </w:pPr>
      <w:r w:rsidRPr="00480513">
        <w:rPr>
          <w:rFonts w:ascii="Calibri" w:eastAsiaTheme="minorHAnsi" w:hAnsi="Calibri" w:cs="Calibri"/>
          <w:color w:val="111111"/>
          <w:kern w:val="2"/>
          <w:sz w:val="22"/>
          <w:szCs w:val="22"/>
          <w14:ligatures w14:val="standardContextual"/>
        </w:rPr>
        <w:t>Zakon o spodbujanju rabe obnovljivih virov energije (Uradni list RS, št. 121/21, 189/21 in 121/22 – ZUOKPOE) predvideva sicer tudi podporo za proizvodnjo plinastih goriv, vendar Vlada Republike Slovenije še do danes ni sprejela ustreznih podzakonskih predpisov (rok je bil 9 mesecev po uveljavitvi zakona, ki je bil sprejet v letu 2021).</w:t>
      </w:r>
    </w:p>
    <w:p w14:paraId="4B179094" w14:textId="77777777" w:rsidR="0062505A" w:rsidRPr="00480513" w:rsidRDefault="0062505A" w:rsidP="0062505A">
      <w:pPr>
        <w:spacing w:line="276" w:lineRule="auto"/>
        <w:jc w:val="both"/>
        <w:rPr>
          <w:rFonts w:ascii="Calibri" w:hAnsi="Calibri" w:cs="Calibri"/>
          <w:bCs/>
          <w:color w:val="111111"/>
        </w:rPr>
      </w:pPr>
      <w:r w:rsidRPr="00480513">
        <w:rPr>
          <w:rFonts w:ascii="Calibri" w:hAnsi="Calibri" w:cs="Calibri"/>
          <w:bCs/>
          <w:color w:val="111111"/>
        </w:rPr>
        <w:t xml:space="preserve">Da se še ne podpira proizvodnja </w:t>
      </w:r>
      <w:proofErr w:type="spellStart"/>
      <w:r w:rsidRPr="00480513">
        <w:rPr>
          <w:rFonts w:ascii="Calibri" w:hAnsi="Calibri" w:cs="Calibri"/>
          <w:bCs/>
          <w:color w:val="111111"/>
        </w:rPr>
        <w:t>biometana</w:t>
      </w:r>
      <w:proofErr w:type="spellEnd"/>
      <w:r w:rsidRPr="00480513">
        <w:rPr>
          <w:rFonts w:ascii="Calibri" w:hAnsi="Calibri" w:cs="Calibri"/>
          <w:bCs/>
          <w:color w:val="111111"/>
        </w:rPr>
        <w:t xml:space="preserve"> v Sloveniji je še bolj nenavadno ob naslednjih dejstvih:</w:t>
      </w:r>
    </w:p>
    <w:p w14:paraId="621259C7" w14:textId="021FCFEF" w:rsidR="0062505A" w:rsidRPr="00480513" w:rsidRDefault="0062505A" w:rsidP="0062505A">
      <w:pPr>
        <w:pStyle w:val="ListParagraph"/>
        <w:numPr>
          <w:ilvl w:val="0"/>
          <w:numId w:val="9"/>
        </w:numPr>
        <w:spacing w:line="276" w:lineRule="auto"/>
        <w:jc w:val="both"/>
        <w:rPr>
          <w:rFonts w:ascii="Calibri" w:hAnsi="Calibri" w:cs="Calibri"/>
          <w:color w:val="111111"/>
        </w:rPr>
      </w:pPr>
      <w:r w:rsidRPr="00480513">
        <w:rPr>
          <w:rFonts w:ascii="Calibri" w:hAnsi="Calibri" w:cs="Calibri"/>
          <w:color w:val="111111"/>
        </w:rPr>
        <w:t>Slovenija v preteklosti ni dosegla zahtevanega 25-odstotnega deleža energije iz obnovljivih virov v bruto končni rabi energije. Da bi zastavljeni cilj dosegla, je morala država manjkajoči delež zagotoviti z mehanizmom statističnega prenosa te vrste energije iz druge države članice EU.</w:t>
      </w:r>
      <w:r w:rsidR="006D26A6">
        <w:rPr>
          <w:rFonts w:ascii="Calibri" w:hAnsi="Calibri" w:cs="Calibri"/>
          <w:color w:val="111111"/>
        </w:rPr>
        <w:t xml:space="preserve"> Za statistični prenos je samo za leto</w:t>
      </w:r>
      <w:r w:rsidRPr="00480513">
        <w:rPr>
          <w:rFonts w:ascii="Calibri" w:hAnsi="Calibri" w:cs="Calibri"/>
          <w:color w:val="111111"/>
        </w:rPr>
        <w:t xml:space="preserve"> 2022 plačala Hrvaški 10.856.300 Eurov;</w:t>
      </w:r>
    </w:p>
    <w:p w14:paraId="750B033A" w14:textId="77777777" w:rsidR="0062505A" w:rsidRPr="00480513" w:rsidRDefault="0062505A" w:rsidP="0062505A">
      <w:pPr>
        <w:pStyle w:val="ListParagraph"/>
        <w:numPr>
          <w:ilvl w:val="0"/>
          <w:numId w:val="9"/>
        </w:numPr>
        <w:spacing w:line="276" w:lineRule="auto"/>
        <w:jc w:val="both"/>
        <w:rPr>
          <w:rFonts w:ascii="Calibri" w:hAnsi="Calibri" w:cs="Calibri"/>
          <w:color w:val="111111"/>
        </w:rPr>
      </w:pPr>
      <w:r w:rsidRPr="00480513">
        <w:rPr>
          <w:rFonts w:ascii="Calibri" w:hAnsi="Calibri" w:cs="Calibri"/>
          <w:color w:val="111111"/>
        </w:rPr>
        <w:t xml:space="preserve">v primeru podpore proizvodnji </w:t>
      </w:r>
      <w:proofErr w:type="spellStart"/>
      <w:r w:rsidRPr="00480513">
        <w:rPr>
          <w:rFonts w:ascii="Calibri" w:hAnsi="Calibri" w:cs="Calibri"/>
          <w:color w:val="111111"/>
        </w:rPr>
        <w:t>biometana</w:t>
      </w:r>
      <w:proofErr w:type="spellEnd"/>
      <w:r w:rsidRPr="00480513">
        <w:rPr>
          <w:rFonts w:ascii="Calibri" w:hAnsi="Calibri" w:cs="Calibri"/>
          <w:color w:val="111111"/>
        </w:rPr>
        <w:t xml:space="preserve"> v Sloveniji, bi velik delež teh sredstev ostal v Sloveniji (kar je v nasprotju pri nekaterih drugih spodbudah) – na primer kmetijstvo bi tako dobilo sredstva za dodatni posevek ali/in prezimni posevek.</w:t>
      </w:r>
    </w:p>
    <w:p w14:paraId="4287C367" w14:textId="77777777" w:rsidR="0062505A" w:rsidRPr="00480513" w:rsidRDefault="0062505A" w:rsidP="0062505A">
      <w:pPr>
        <w:pStyle w:val="ListParagraph"/>
        <w:numPr>
          <w:ilvl w:val="0"/>
          <w:numId w:val="9"/>
        </w:numPr>
        <w:spacing w:line="276" w:lineRule="auto"/>
        <w:jc w:val="both"/>
        <w:rPr>
          <w:rFonts w:ascii="Calibri" w:hAnsi="Calibri" w:cs="Calibri"/>
          <w:color w:val="111111"/>
        </w:rPr>
      </w:pPr>
      <w:r w:rsidRPr="00480513">
        <w:rPr>
          <w:rFonts w:ascii="Calibri" w:hAnsi="Calibri" w:cs="Calibri"/>
          <w:color w:val="111111"/>
        </w:rPr>
        <w:t xml:space="preserve">ker je </w:t>
      </w:r>
      <w:proofErr w:type="spellStart"/>
      <w:r w:rsidRPr="00480513">
        <w:rPr>
          <w:rFonts w:ascii="Calibri" w:hAnsi="Calibri" w:cs="Calibri"/>
          <w:color w:val="111111"/>
        </w:rPr>
        <w:t>biometan</w:t>
      </w:r>
      <w:proofErr w:type="spellEnd"/>
      <w:r w:rsidRPr="00480513">
        <w:rPr>
          <w:rFonts w:ascii="Calibri" w:hAnsi="Calibri" w:cs="Calibri"/>
          <w:color w:val="111111"/>
        </w:rPr>
        <w:t xml:space="preserve"> enostavno shranjevati za daljši čas (sezonsko) se izognemo stroškom v druge načine sezonskega shranjevanja energije, ki so zaenkrat še zelo dragi.</w:t>
      </w:r>
    </w:p>
    <w:p w14:paraId="6D601FA8" w14:textId="77777777" w:rsidR="0062505A" w:rsidRPr="00480513" w:rsidRDefault="0062505A" w:rsidP="0062505A">
      <w:pPr>
        <w:spacing w:line="276" w:lineRule="auto"/>
        <w:jc w:val="both"/>
        <w:rPr>
          <w:rFonts w:ascii="Calibri" w:hAnsi="Calibri" w:cs="Calibri"/>
          <w:b/>
          <w:bCs/>
          <w:color w:val="111111"/>
        </w:rPr>
      </w:pPr>
    </w:p>
    <w:p w14:paraId="1BAB56B0" w14:textId="77777777" w:rsidR="0062505A" w:rsidRPr="00480513" w:rsidRDefault="0062505A" w:rsidP="0062505A">
      <w:pPr>
        <w:pStyle w:val="ListParagraph"/>
        <w:numPr>
          <w:ilvl w:val="0"/>
          <w:numId w:val="8"/>
        </w:numPr>
        <w:spacing w:line="276" w:lineRule="auto"/>
        <w:jc w:val="both"/>
        <w:rPr>
          <w:rFonts w:ascii="Calibri" w:hAnsi="Calibri" w:cs="Calibri"/>
          <w:b/>
          <w:bCs/>
          <w:color w:val="111111"/>
          <w:sz w:val="24"/>
          <w:szCs w:val="24"/>
        </w:rPr>
      </w:pPr>
      <w:r w:rsidRPr="00480513">
        <w:rPr>
          <w:rFonts w:ascii="Calibri" w:hAnsi="Calibri" w:cs="Calibri"/>
          <w:b/>
          <w:bCs/>
          <w:color w:val="111111"/>
          <w:sz w:val="24"/>
          <w:szCs w:val="24"/>
        </w:rPr>
        <w:t xml:space="preserve">Predlog EZ-2 oziroma njegov 22. člen vsebuje celo vrsto določb, ki so v nasprotju z Ustavo Republike Slovenije </w:t>
      </w:r>
    </w:p>
    <w:p w14:paraId="17294BB9" w14:textId="77777777" w:rsidR="0062505A" w:rsidRPr="00E76781" w:rsidRDefault="0062505A" w:rsidP="0062505A">
      <w:pPr>
        <w:spacing w:after="168" w:line="276" w:lineRule="auto"/>
        <w:jc w:val="both"/>
        <w:rPr>
          <w:rFonts w:ascii="Calibri" w:eastAsia="Times New Roman" w:hAnsi="Calibri" w:cs="Calibri"/>
          <w:color w:val="111111"/>
          <w:kern w:val="0"/>
          <w14:ligatures w14:val="none"/>
        </w:rPr>
      </w:pPr>
    </w:p>
    <w:p w14:paraId="03130F1A" w14:textId="7CB70BFA" w:rsidR="0062505A" w:rsidRPr="00E76781" w:rsidRDefault="0062582A" w:rsidP="0062505A">
      <w:pPr>
        <w:spacing w:after="168" w:line="276" w:lineRule="auto"/>
        <w:jc w:val="both"/>
        <w:rPr>
          <w:rFonts w:ascii="Calibri" w:eastAsia="Times New Roman" w:hAnsi="Calibri" w:cs="Calibri"/>
          <w:b/>
          <w:color w:val="111111"/>
          <w:kern w:val="0"/>
          <w14:ligatures w14:val="none"/>
        </w:rPr>
      </w:pPr>
      <w:r>
        <w:rPr>
          <w:rFonts w:ascii="Calibri" w:eastAsia="Times New Roman" w:hAnsi="Calibri" w:cs="Calibri"/>
          <w:b/>
          <w:color w:val="111111"/>
          <w:kern w:val="0"/>
          <w14:ligatures w14:val="none"/>
        </w:rPr>
        <w:t>P</w:t>
      </w:r>
      <w:r w:rsidR="0062505A" w:rsidRPr="00E76781">
        <w:rPr>
          <w:rFonts w:ascii="Calibri" w:eastAsia="Times New Roman" w:hAnsi="Calibri" w:cs="Calibri"/>
          <w:b/>
          <w:color w:val="111111"/>
          <w:kern w:val="0"/>
          <w14:ligatures w14:val="none"/>
        </w:rPr>
        <w:t>ravno mnenje</w:t>
      </w:r>
      <w:r>
        <w:rPr>
          <w:rFonts w:ascii="Calibri" w:eastAsia="Times New Roman" w:hAnsi="Calibri" w:cs="Calibri"/>
          <w:b/>
          <w:color w:val="111111"/>
          <w:kern w:val="0"/>
          <w14:ligatures w14:val="none"/>
        </w:rPr>
        <w:t xml:space="preserve"> Inštituta za javno upravo pri Pravni fakulteti v Ljubljani </w:t>
      </w:r>
    </w:p>
    <w:p w14:paraId="0D36F7D8" w14:textId="77777777" w:rsidR="0062505A" w:rsidRPr="00480513" w:rsidRDefault="0062505A" w:rsidP="0062505A">
      <w:pPr>
        <w:spacing w:after="168" w:line="276" w:lineRule="auto"/>
        <w:jc w:val="both"/>
        <w:rPr>
          <w:rFonts w:ascii="Calibri" w:eastAsia="Times New Roman" w:hAnsi="Calibri" w:cs="Calibri"/>
          <w:color w:val="111111"/>
          <w:kern w:val="0"/>
          <w14:ligatures w14:val="none"/>
        </w:rPr>
      </w:pPr>
      <w:bookmarkStart w:id="10" w:name="_Hlk163565241"/>
      <w:r>
        <w:rPr>
          <w:rFonts w:ascii="Calibri" w:eastAsia="Times New Roman" w:hAnsi="Calibri" w:cs="Calibri"/>
          <w:color w:val="111111"/>
          <w:kern w:val="0"/>
          <w14:ligatures w14:val="none"/>
        </w:rPr>
        <w:t>Pravno mnenje, ki ga je izdelal Inštitut</w:t>
      </w:r>
      <w:r w:rsidRPr="00480513">
        <w:rPr>
          <w:rFonts w:ascii="Calibri" w:eastAsia="Times New Roman" w:hAnsi="Calibri" w:cs="Calibri"/>
          <w:color w:val="111111"/>
          <w:kern w:val="0"/>
          <w14:ligatures w14:val="none"/>
        </w:rPr>
        <w:t xml:space="preserve"> za javno upravo pri Pravni fakulteti v Ljubljani </w:t>
      </w:r>
      <w:r>
        <w:rPr>
          <w:rFonts w:ascii="Calibri" w:eastAsia="Times New Roman" w:hAnsi="Calibri" w:cs="Calibri"/>
          <w:color w:val="111111"/>
          <w:kern w:val="0"/>
          <w14:ligatures w14:val="none"/>
        </w:rPr>
        <w:t>obravnava pravna vprašanja</w:t>
      </w:r>
      <w:r w:rsidRPr="00480513">
        <w:rPr>
          <w:rFonts w:ascii="Calibri" w:eastAsia="Times New Roman" w:hAnsi="Calibri" w:cs="Calibri"/>
          <w:color w:val="111111"/>
          <w:kern w:val="0"/>
          <w14:ligatures w14:val="none"/>
        </w:rPr>
        <w:t xml:space="preserve"> osmega, devetega in desetega odstavka 22. člena Predloga Energetskega zakona, ki ga je Vlada Republike Slovenije predložila Državnemu zboru v obravnavo dne 8.12.2023 (EPA 1223-IX). Določbe teh odstavkov se nanašajo na dejavnost distribucije plina. Določbe osmega, devetega in desetega odstavka 22. člena urejajo podeljevanje novih koncesij, možnosti podaljševanja koncesij in pravila o podaljšanju koncesij tudi za javna podjetja, ki izvajajo distribucijo plina.</w:t>
      </w:r>
    </w:p>
    <w:bookmarkEnd w:id="10"/>
    <w:p w14:paraId="10CED112" w14:textId="77777777" w:rsidR="0062505A" w:rsidRPr="00480513" w:rsidRDefault="0062505A" w:rsidP="0062505A">
      <w:pPr>
        <w:spacing w:after="168" w:line="276" w:lineRule="auto"/>
        <w:jc w:val="both"/>
        <w:rPr>
          <w:rFonts w:ascii="Calibri" w:eastAsia="Times New Roman" w:hAnsi="Calibri" w:cs="Calibri"/>
          <w:color w:val="111111"/>
          <w:kern w:val="0"/>
          <w14:ligatures w14:val="none"/>
        </w:rPr>
      </w:pPr>
      <w:r w:rsidRPr="00480513">
        <w:rPr>
          <w:rFonts w:ascii="Calibri" w:eastAsia="Times New Roman" w:hAnsi="Calibri" w:cs="Calibri"/>
          <w:b/>
          <w:bCs/>
          <w:color w:val="111111"/>
          <w:kern w:val="0"/>
          <w14:ligatures w14:val="none"/>
        </w:rPr>
        <w:t>Sklepne ugotovite pravnega mnenja so naslednje:</w:t>
      </w:r>
    </w:p>
    <w:p w14:paraId="69376177" w14:textId="77777777" w:rsidR="0062505A" w:rsidRPr="00480513" w:rsidRDefault="0062505A" w:rsidP="0062505A">
      <w:pPr>
        <w:numPr>
          <w:ilvl w:val="0"/>
          <w:numId w:val="7"/>
        </w:numPr>
        <w:spacing w:before="100" w:beforeAutospacing="1" w:after="100" w:afterAutospacing="1" w:line="276" w:lineRule="auto"/>
        <w:jc w:val="both"/>
        <w:rPr>
          <w:rFonts w:ascii="Calibri" w:eastAsia="Times New Roman" w:hAnsi="Calibri" w:cs="Calibri"/>
          <w:color w:val="111111"/>
          <w:kern w:val="0"/>
          <w14:ligatures w14:val="none"/>
        </w:rPr>
      </w:pPr>
      <w:r w:rsidRPr="00480513">
        <w:rPr>
          <w:rFonts w:ascii="Calibri" w:eastAsia="Times New Roman" w:hAnsi="Calibri" w:cs="Calibri"/>
          <w:color w:val="111111"/>
          <w:kern w:val="0"/>
          <w14:ligatures w14:val="none"/>
        </w:rPr>
        <w:lastRenderedPageBreak/>
        <w:t>Nova ureditev koncesij za dejavnost operaterja distribucijskega sistema in njihovega podaljševanja v Predlogu EZ-2 je še strožja od tiste, ki jo je določal predlog Zakona o energetski politiki; prepoved podeljevanja novih koncesij je popolna, podaljševanje koncesij pa je omejeno na primere, ko je tako podaljšanje jasno, določno in nedvoumno določeno v prvotni koncesijski pogodbi, ki je bila predmet razpisa, kar je zelo redko; le tiste koncesije, ki bodo ob uveljavitvi EZ-2 še trajale, se bodo nadaljevale do poteka njihovega roka, če ne bodo izjemno podaljšane, kot je predvideno v devetem odstavku 22. člena in skladno z Direktivo o podeljevanju koncesijskih pogodb; vsi ti učinki omejevanja koncesij za dejavnost operaterja distribucijskega sistema nastopijo takoj po uveljavitvi EZ-2, brez vsakega prehodnega obdobja;</w:t>
      </w:r>
    </w:p>
    <w:p w14:paraId="0CA2FD32" w14:textId="77777777" w:rsidR="0062505A" w:rsidRPr="00480513" w:rsidRDefault="0062505A" w:rsidP="0062505A">
      <w:pPr>
        <w:numPr>
          <w:ilvl w:val="0"/>
          <w:numId w:val="7"/>
        </w:numPr>
        <w:spacing w:before="100" w:beforeAutospacing="1" w:after="100" w:afterAutospacing="1" w:line="276" w:lineRule="auto"/>
        <w:jc w:val="both"/>
        <w:rPr>
          <w:rFonts w:ascii="Calibri" w:eastAsia="Times New Roman" w:hAnsi="Calibri" w:cs="Calibri"/>
          <w:color w:val="111111"/>
          <w:kern w:val="0"/>
          <w14:ligatures w14:val="none"/>
        </w:rPr>
      </w:pPr>
      <w:r w:rsidRPr="00480513">
        <w:rPr>
          <w:rFonts w:ascii="Calibri" w:eastAsia="Times New Roman" w:hAnsi="Calibri" w:cs="Calibri"/>
          <w:color w:val="111111"/>
          <w:kern w:val="0"/>
          <w14:ligatures w14:val="none"/>
        </w:rPr>
        <w:t>Treba je tudi upoštevati, da glede izvajanja javne službe dejavnost operaterja distribucijskega sistema v obliki javnega podjetja Predlog EZ-2 ne določa ničesar izvedljivega in se bo tudi po njegovi morebitni uveljavitvi še naprej lahko izvajala v obliki javnega podjetja pod enakimi pogoji, kot doslej; poleg tega je mogoče pričakovati, da bo določba desetega odstavka 22. člena Predloga EZ-2 razveljavljena v postopku ocene ustavnosti, saj je neskladna z zahtevo po jasnosti in določnosti predpisov, ki izhaja iz 2. člena Ustave; </w:t>
      </w:r>
    </w:p>
    <w:p w14:paraId="63D8129F" w14:textId="77777777" w:rsidR="0062505A" w:rsidRPr="00480513" w:rsidRDefault="0062505A" w:rsidP="0062505A">
      <w:pPr>
        <w:numPr>
          <w:ilvl w:val="0"/>
          <w:numId w:val="7"/>
        </w:numPr>
        <w:spacing w:before="100" w:beforeAutospacing="1" w:after="100" w:afterAutospacing="1" w:line="276" w:lineRule="auto"/>
        <w:jc w:val="both"/>
        <w:rPr>
          <w:rFonts w:ascii="Calibri" w:eastAsia="Times New Roman" w:hAnsi="Calibri" w:cs="Calibri"/>
          <w:color w:val="111111"/>
          <w:kern w:val="0"/>
          <w14:ligatures w14:val="none"/>
        </w:rPr>
      </w:pPr>
      <w:bookmarkStart w:id="11" w:name="_Hlk163565524"/>
      <w:r w:rsidRPr="00480513">
        <w:rPr>
          <w:rFonts w:ascii="Calibri" w:eastAsia="Times New Roman" w:hAnsi="Calibri" w:cs="Calibri"/>
          <w:color w:val="111111"/>
          <w:kern w:val="0"/>
          <w14:ligatures w14:val="none"/>
        </w:rPr>
        <w:t>Zakonska ureditev omejevanja podeljevanja in podaljševanja koncesij iz osmega in devetega odstavka 22. člena Predloga EZ-2 močno posega v ustavno pravico svobodne gospodarske pobude iz 74. člena Ustave gospodarskih subjektov, ki opravljajo dejavnost operaterja distribucijskega sistema plina, pa tudi v njihovo ustavno pravico varstva zasebne lastnine iz 33. člena Ustave, saj ne bodo mogli opravljati svoje dejavnosti; prav tako posega tudi v ustavno pravico splošne svobode ravnanja iz 34. in 35. člena Ustave odjemalcev plina, priključenih na distribucijske sisteme koncesionarjev, pa tudi v njihovo pravico do zasebne lastnine, saj bodo imeli velike stroške z menjavo energenta; končno pa posega tudi v izvirne pristojnosti občine, zagotovljene s 140. členom Ustave</w:t>
      </w:r>
      <w:bookmarkEnd w:id="11"/>
      <w:r w:rsidRPr="00480513">
        <w:rPr>
          <w:rFonts w:ascii="Calibri" w:eastAsia="Times New Roman" w:hAnsi="Calibri" w:cs="Calibri"/>
          <w:color w:val="111111"/>
          <w:kern w:val="0"/>
          <w14:ligatures w14:val="none"/>
        </w:rPr>
        <w:t>;</w:t>
      </w:r>
      <w:r w:rsidRPr="00480513">
        <w:rPr>
          <w:rFonts w:ascii="Calibri" w:eastAsia="Times New Roman" w:hAnsi="Calibri" w:cs="Calibri"/>
          <w:color w:val="111111"/>
          <w:kern w:val="0"/>
          <w14:ligatures w14:val="none"/>
        </w:rPr>
        <w:br/>
        <w:t> Ti posegi so povsem nesorazmerni, saj ne izpolnjujejo kar treh kriterijev testa sorazmernosti od štirih; ureditev ne izpolnjuje kriterija primernosti, kriterija nujnosti in kriterija sorazmernosti v ožjem pomenu;</w:t>
      </w:r>
    </w:p>
    <w:p w14:paraId="734F4516" w14:textId="77777777" w:rsidR="0062505A" w:rsidRPr="00480513" w:rsidRDefault="0062505A" w:rsidP="0062505A">
      <w:pPr>
        <w:pStyle w:val="ListParagraph"/>
        <w:numPr>
          <w:ilvl w:val="0"/>
          <w:numId w:val="7"/>
        </w:numPr>
        <w:spacing w:before="100" w:beforeAutospacing="1" w:after="100" w:afterAutospacing="1" w:line="276" w:lineRule="auto"/>
        <w:jc w:val="both"/>
        <w:rPr>
          <w:rFonts w:ascii="Calibri" w:eastAsia="Times New Roman" w:hAnsi="Calibri" w:cs="Calibri"/>
          <w:color w:val="111111"/>
          <w:kern w:val="0"/>
          <w14:ligatures w14:val="none"/>
        </w:rPr>
      </w:pPr>
      <w:r w:rsidRPr="00480513">
        <w:rPr>
          <w:rFonts w:ascii="Calibri" w:eastAsia="Times New Roman" w:hAnsi="Calibri" w:cs="Calibri"/>
          <w:color w:val="111111"/>
          <w:kern w:val="0"/>
          <w14:ligatures w14:val="none"/>
        </w:rPr>
        <w:t>Ta predlagana zakonska ureditev je tudi arbitrarna in v neskladju s 14. členom Ustave, saj brez razumnega in stvarnega razloga razlikuje med operaterji, ki opravljajo dejavnost na podlagi koncesije od tistih, ki opravljajo dejavnost kot javno podjetje;</w:t>
      </w:r>
    </w:p>
    <w:p w14:paraId="431A4957" w14:textId="77777777" w:rsidR="0062505A" w:rsidRPr="00480513" w:rsidRDefault="0062505A" w:rsidP="0062505A">
      <w:pPr>
        <w:numPr>
          <w:ilvl w:val="0"/>
          <w:numId w:val="7"/>
        </w:numPr>
        <w:spacing w:before="100" w:beforeAutospacing="1" w:after="100" w:afterAutospacing="1" w:line="276" w:lineRule="auto"/>
        <w:jc w:val="both"/>
        <w:rPr>
          <w:rFonts w:ascii="Calibri" w:eastAsia="Times New Roman" w:hAnsi="Calibri" w:cs="Calibri"/>
          <w:color w:val="111111"/>
          <w:kern w:val="0"/>
          <w14:ligatures w14:val="none"/>
        </w:rPr>
      </w:pPr>
      <w:r w:rsidRPr="00480513">
        <w:rPr>
          <w:rFonts w:ascii="Calibri" w:eastAsia="Times New Roman" w:hAnsi="Calibri" w:cs="Calibri"/>
          <w:color w:val="111111"/>
          <w:kern w:val="0"/>
          <w14:ligatures w14:val="none"/>
        </w:rPr>
        <w:t>Glede na to je zakonska ureditev omejevanja podeljevanja in podaljševanja koncesij iz osmega in devetega odstavka 22. člena Predloga EZ-2, v neskladju z Ustavo in bi jo v primeru uvedbe postopka ocene ustavnosti Ustavno sodišče razveljavilo.</w:t>
      </w:r>
    </w:p>
    <w:p w14:paraId="627C5B41" w14:textId="0D630E96" w:rsidR="0062505A" w:rsidRDefault="0062505A">
      <w:pPr>
        <w:rPr>
          <w:bCs/>
        </w:rPr>
      </w:pPr>
      <w:r>
        <w:rPr>
          <w:bCs/>
        </w:rPr>
        <w:br w:type="page"/>
      </w:r>
    </w:p>
    <w:p w14:paraId="2C333D60" w14:textId="77777777" w:rsidR="0062505A" w:rsidRDefault="0062505A" w:rsidP="0062505A">
      <w:pPr>
        <w:spacing w:line="276" w:lineRule="auto"/>
        <w:jc w:val="both"/>
        <w:rPr>
          <w:bCs/>
        </w:rPr>
      </w:pPr>
    </w:p>
    <w:p w14:paraId="57C5C5D9" w14:textId="77777777" w:rsidR="0062505A" w:rsidRDefault="0062505A" w:rsidP="0062505A">
      <w:pPr>
        <w:spacing w:line="276" w:lineRule="auto"/>
        <w:ind w:left="720"/>
        <w:jc w:val="both"/>
        <w:rPr>
          <w:b/>
          <w:bCs/>
          <w:sz w:val="24"/>
          <w:szCs w:val="24"/>
        </w:rPr>
      </w:pPr>
      <w:r>
        <w:rPr>
          <w:b/>
          <w:bCs/>
          <w:sz w:val="24"/>
          <w:szCs w:val="24"/>
        </w:rPr>
        <w:t xml:space="preserve">8. </w:t>
      </w:r>
      <w:r w:rsidRPr="009E24A3">
        <w:rPr>
          <w:b/>
          <w:bCs/>
          <w:sz w:val="24"/>
          <w:szCs w:val="24"/>
        </w:rPr>
        <w:t>Predlogi GIZ-DZP za izboljšanje EZ-2 in za gospodinjstvom sprejemljivo energetsko politiko</w:t>
      </w:r>
      <w:r>
        <w:rPr>
          <w:b/>
          <w:bCs/>
          <w:sz w:val="24"/>
          <w:szCs w:val="24"/>
        </w:rPr>
        <w:t xml:space="preserve"> – zaključki </w:t>
      </w:r>
    </w:p>
    <w:p w14:paraId="5943EBA0" w14:textId="77777777" w:rsidR="0062505A" w:rsidRPr="00B66D96" w:rsidRDefault="0062505A" w:rsidP="0062505A">
      <w:pPr>
        <w:spacing w:line="276" w:lineRule="auto"/>
        <w:jc w:val="both"/>
        <w:rPr>
          <w:rFonts w:ascii="Calibri" w:eastAsia="Times New Roman" w:hAnsi="Calibri" w:cs="Calibri"/>
          <w:color w:val="111111"/>
          <w:kern w:val="0"/>
          <w14:ligatures w14:val="none"/>
        </w:rPr>
      </w:pPr>
      <w:r w:rsidRPr="00B66D96">
        <w:rPr>
          <w:rFonts w:ascii="Calibri" w:eastAsia="Times New Roman" w:hAnsi="Calibri" w:cs="Calibri"/>
          <w:color w:val="111111"/>
          <w:kern w:val="0"/>
          <w14:ligatures w14:val="none"/>
        </w:rPr>
        <w:t xml:space="preserve">V povzetku dokumenta navajamo nekatere ključne predloge, ki bi izboljšali nespametnost Energetskega zakona-2: </w:t>
      </w:r>
    </w:p>
    <w:p w14:paraId="1DB33224" w14:textId="77777777" w:rsidR="0062505A" w:rsidRPr="00B66D96" w:rsidRDefault="0062505A" w:rsidP="0062505A">
      <w:pPr>
        <w:spacing w:line="276" w:lineRule="auto"/>
        <w:jc w:val="both"/>
        <w:rPr>
          <w:rFonts w:ascii="Calibri" w:eastAsia="Times New Roman" w:hAnsi="Calibri" w:cs="Calibri"/>
          <w:color w:val="111111"/>
          <w:kern w:val="0"/>
          <w14:ligatures w14:val="none"/>
        </w:rPr>
      </w:pPr>
    </w:p>
    <w:p w14:paraId="7E9760D2" w14:textId="77777777" w:rsidR="0062505A" w:rsidRDefault="0062505A" w:rsidP="0062505A">
      <w:pPr>
        <w:numPr>
          <w:ilvl w:val="2"/>
          <w:numId w:val="17"/>
        </w:numPr>
        <w:spacing w:line="276" w:lineRule="auto"/>
        <w:jc w:val="both"/>
        <w:rPr>
          <w:rFonts w:ascii="Calibri" w:eastAsia="Times New Roman" w:hAnsi="Calibri" w:cs="Calibri"/>
          <w:color w:val="111111"/>
          <w:kern w:val="0"/>
          <w14:ligatures w14:val="none"/>
        </w:rPr>
      </w:pPr>
      <w:r>
        <w:rPr>
          <w:rFonts w:ascii="Calibri" w:eastAsia="Times New Roman" w:hAnsi="Calibri" w:cs="Calibri"/>
          <w:color w:val="111111"/>
          <w:kern w:val="0"/>
          <w14:ligatures w14:val="none"/>
        </w:rPr>
        <w:t>O</w:t>
      </w:r>
      <w:r w:rsidRPr="00B66D96">
        <w:rPr>
          <w:rFonts w:ascii="Calibri" w:eastAsia="Times New Roman" w:hAnsi="Calibri" w:cs="Calibri"/>
          <w:color w:val="111111"/>
          <w:kern w:val="0"/>
          <w14:ligatures w14:val="none"/>
        </w:rPr>
        <w:t>bstoječe zgrajeno plinovodno omrežje, ki je dimenzionirano in zgrajeno tudi za potrebe ogrevanja</w:t>
      </w:r>
      <w:r>
        <w:rPr>
          <w:rFonts w:ascii="Calibri" w:eastAsia="Times New Roman" w:hAnsi="Calibri" w:cs="Calibri"/>
          <w:color w:val="111111"/>
          <w:kern w:val="0"/>
          <w14:ligatures w14:val="none"/>
        </w:rPr>
        <w:t xml:space="preserve"> naj se uporabi za zeleni prehod.</w:t>
      </w:r>
      <w:r w:rsidRPr="00B66D96">
        <w:rPr>
          <w:rFonts w:ascii="Calibri" w:eastAsia="Times New Roman" w:hAnsi="Calibri" w:cs="Calibri"/>
          <w:color w:val="111111"/>
          <w:kern w:val="0"/>
          <w14:ligatures w14:val="none"/>
        </w:rPr>
        <w:t xml:space="preserve"> </w:t>
      </w:r>
      <w:r>
        <w:rPr>
          <w:rFonts w:ascii="Calibri" w:eastAsia="Times New Roman" w:hAnsi="Calibri" w:cs="Calibri"/>
          <w:color w:val="111111"/>
          <w:kern w:val="0"/>
          <w14:ligatures w14:val="none"/>
        </w:rPr>
        <w:t>S</w:t>
      </w:r>
      <w:r w:rsidRPr="00B66D96">
        <w:rPr>
          <w:rFonts w:ascii="Calibri" w:eastAsia="Times New Roman" w:hAnsi="Calibri" w:cs="Calibri"/>
          <w:color w:val="111111"/>
          <w:kern w:val="0"/>
          <w14:ligatures w14:val="none"/>
        </w:rPr>
        <w:t xml:space="preserve"> tem zmanjšamo inv</w:t>
      </w:r>
      <w:r>
        <w:rPr>
          <w:rFonts w:ascii="Calibri" w:eastAsia="Times New Roman" w:hAnsi="Calibri" w:cs="Calibri"/>
          <w:color w:val="111111"/>
          <w:kern w:val="0"/>
          <w14:ligatures w14:val="none"/>
        </w:rPr>
        <w:t>esticijo v električno omrežje. V nasprotnem primeru, bodo te investicije še višje, kot je sedaj predvideno;</w:t>
      </w:r>
    </w:p>
    <w:p w14:paraId="106A5F03" w14:textId="77777777" w:rsidR="0062505A" w:rsidRPr="00B66D96" w:rsidRDefault="0062505A" w:rsidP="0062505A">
      <w:pPr>
        <w:numPr>
          <w:ilvl w:val="2"/>
          <w:numId w:val="17"/>
        </w:numPr>
        <w:spacing w:line="276" w:lineRule="auto"/>
        <w:jc w:val="both"/>
        <w:rPr>
          <w:rFonts w:ascii="Calibri" w:eastAsia="Times New Roman" w:hAnsi="Calibri" w:cs="Calibri"/>
          <w:color w:val="111111"/>
          <w:kern w:val="0"/>
          <w14:ligatures w14:val="none"/>
        </w:rPr>
      </w:pPr>
      <w:r>
        <w:rPr>
          <w:rFonts w:ascii="Calibri" w:eastAsia="Times New Roman" w:hAnsi="Calibri" w:cs="Calibri"/>
          <w:color w:val="111111"/>
          <w:kern w:val="0"/>
          <w14:ligatures w14:val="none"/>
        </w:rPr>
        <w:t>Zagotovi naj se skladnost predloga EZ-2 z Ustavo Republike Slovenije (5. odstavek, 7. odstavek, 8. odstavek, 9. odstavek in 10. odstavek 22. člena);</w:t>
      </w:r>
    </w:p>
    <w:p w14:paraId="5BCBC058" w14:textId="11CC5DCB" w:rsidR="0062505A" w:rsidRPr="00B66D96" w:rsidRDefault="0062505A" w:rsidP="0062505A">
      <w:pPr>
        <w:numPr>
          <w:ilvl w:val="2"/>
          <w:numId w:val="17"/>
        </w:numPr>
        <w:spacing w:line="276" w:lineRule="auto"/>
        <w:jc w:val="both"/>
        <w:rPr>
          <w:rFonts w:ascii="Calibri" w:eastAsia="Times New Roman" w:hAnsi="Calibri" w:cs="Calibri"/>
          <w:color w:val="111111"/>
          <w:kern w:val="0"/>
          <w14:ligatures w14:val="none"/>
        </w:rPr>
      </w:pPr>
      <w:r w:rsidRPr="00B66D96">
        <w:rPr>
          <w:rFonts w:ascii="Calibri" w:eastAsia="Times New Roman" w:hAnsi="Calibri" w:cs="Calibri"/>
          <w:color w:val="111111"/>
          <w:kern w:val="0"/>
          <w14:ligatures w14:val="none"/>
        </w:rPr>
        <w:t>Dovoli naj se vgradnja konde</w:t>
      </w:r>
      <w:r>
        <w:rPr>
          <w:rFonts w:ascii="Calibri" w:eastAsia="Times New Roman" w:hAnsi="Calibri" w:cs="Calibri"/>
          <w:color w:val="111111"/>
          <w:kern w:val="0"/>
          <w14:ligatures w14:val="none"/>
        </w:rPr>
        <w:t>n</w:t>
      </w:r>
      <w:r w:rsidRPr="00B66D96">
        <w:rPr>
          <w:rFonts w:ascii="Calibri" w:eastAsia="Times New Roman" w:hAnsi="Calibri" w:cs="Calibri"/>
          <w:color w:val="111111"/>
          <w:kern w:val="0"/>
          <w14:ligatures w14:val="none"/>
        </w:rPr>
        <w:t xml:space="preserve">zacijskih kotlov </w:t>
      </w:r>
      <w:r>
        <w:rPr>
          <w:rFonts w:ascii="Calibri" w:eastAsia="Times New Roman" w:hAnsi="Calibri" w:cs="Calibri"/>
          <w:color w:val="111111"/>
          <w:kern w:val="0"/>
          <w14:ligatures w14:val="none"/>
        </w:rPr>
        <w:t xml:space="preserve"> v novih </w:t>
      </w:r>
      <w:r w:rsidR="001F5D8C">
        <w:rPr>
          <w:rFonts w:ascii="Calibri" w:eastAsia="Times New Roman" w:hAnsi="Calibri" w:cs="Calibri"/>
          <w:color w:val="111111"/>
          <w:kern w:val="0"/>
          <w14:ligatures w14:val="none"/>
        </w:rPr>
        <w:t xml:space="preserve">večstanovanjskih </w:t>
      </w:r>
      <w:r>
        <w:rPr>
          <w:rFonts w:ascii="Calibri" w:eastAsia="Times New Roman" w:hAnsi="Calibri" w:cs="Calibri"/>
          <w:color w:val="111111"/>
          <w:kern w:val="0"/>
          <w14:ligatures w14:val="none"/>
        </w:rPr>
        <w:t>gradnjah;</w:t>
      </w:r>
    </w:p>
    <w:p w14:paraId="329ECA09" w14:textId="77777777" w:rsidR="0062505A" w:rsidRPr="00B66D96" w:rsidRDefault="0062505A" w:rsidP="0062505A">
      <w:pPr>
        <w:numPr>
          <w:ilvl w:val="2"/>
          <w:numId w:val="17"/>
        </w:numPr>
        <w:spacing w:line="276" w:lineRule="auto"/>
        <w:jc w:val="both"/>
        <w:rPr>
          <w:rFonts w:ascii="Calibri" w:eastAsia="Times New Roman" w:hAnsi="Calibri" w:cs="Calibri"/>
          <w:color w:val="111111"/>
          <w:kern w:val="0"/>
          <w14:ligatures w14:val="none"/>
        </w:rPr>
      </w:pPr>
      <w:r w:rsidRPr="00B66D96">
        <w:rPr>
          <w:rFonts w:ascii="Calibri" w:eastAsia="Times New Roman" w:hAnsi="Calibri" w:cs="Calibri"/>
          <w:color w:val="111111"/>
          <w:kern w:val="0"/>
          <w14:ligatures w14:val="none"/>
        </w:rPr>
        <w:t>Zemeljski plin naj se p</w:t>
      </w:r>
      <w:r>
        <w:rPr>
          <w:rFonts w:ascii="Calibri" w:eastAsia="Times New Roman" w:hAnsi="Calibri" w:cs="Calibri"/>
          <w:color w:val="111111"/>
          <w:kern w:val="0"/>
          <w14:ligatures w14:val="none"/>
        </w:rPr>
        <w:t xml:space="preserve">ostopoma nadomešča z </w:t>
      </w:r>
      <w:proofErr w:type="spellStart"/>
      <w:r>
        <w:rPr>
          <w:rFonts w:ascii="Calibri" w:eastAsia="Times New Roman" w:hAnsi="Calibri" w:cs="Calibri"/>
          <w:color w:val="111111"/>
          <w:kern w:val="0"/>
          <w14:ligatures w14:val="none"/>
        </w:rPr>
        <w:t>biometanom</w:t>
      </w:r>
      <w:proofErr w:type="spellEnd"/>
      <w:r>
        <w:rPr>
          <w:rFonts w:ascii="Calibri" w:eastAsia="Times New Roman" w:hAnsi="Calibri" w:cs="Calibri"/>
          <w:color w:val="111111"/>
          <w:kern w:val="0"/>
          <w14:ligatures w14:val="none"/>
        </w:rPr>
        <w:t xml:space="preserve"> in drugimi plini obnovljivega izvora; </w:t>
      </w:r>
    </w:p>
    <w:p w14:paraId="10B97B7C" w14:textId="77777777" w:rsidR="0062505A" w:rsidRPr="00B66D96" w:rsidRDefault="0062505A" w:rsidP="0062505A">
      <w:pPr>
        <w:numPr>
          <w:ilvl w:val="2"/>
          <w:numId w:val="17"/>
        </w:numPr>
        <w:spacing w:line="276" w:lineRule="auto"/>
        <w:jc w:val="both"/>
        <w:rPr>
          <w:rFonts w:ascii="Calibri" w:eastAsia="Times New Roman" w:hAnsi="Calibri" w:cs="Calibri"/>
          <w:color w:val="111111"/>
          <w:kern w:val="0"/>
          <w14:ligatures w14:val="none"/>
        </w:rPr>
      </w:pPr>
      <w:r w:rsidRPr="00B66D96">
        <w:rPr>
          <w:rFonts w:ascii="Calibri" w:eastAsia="Times New Roman" w:hAnsi="Calibri" w:cs="Calibri"/>
          <w:color w:val="111111"/>
          <w:kern w:val="0"/>
          <w14:ligatures w14:val="none"/>
        </w:rPr>
        <w:t xml:space="preserve">Država naj ustvari spodbudno okolje za proizvodnjo bioplinov, ker ima Slovenija zadostne vire za proizvodnjo </w:t>
      </w:r>
      <w:proofErr w:type="spellStart"/>
      <w:r w:rsidRPr="00B66D96">
        <w:rPr>
          <w:rFonts w:ascii="Calibri" w:eastAsia="Times New Roman" w:hAnsi="Calibri" w:cs="Calibri"/>
          <w:color w:val="111111"/>
          <w:kern w:val="0"/>
          <w14:ligatures w14:val="none"/>
        </w:rPr>
        <w:t>biometana</w:t>
      </w:r>
      <w:proofErr w:type="spellEnd"/>
      <w:r w:rsidRPr="00B66D96">
        <w:rPr>
          <w:rFonts w:ascii="Calibri" w:eastAsia="Times New Roman" w:hAnsi="Calibri" w:cs="Calibri"/>
          <w:color w:val="111111"/>
          <w:kern w:val="0"/>
          <w14:ligatures w14:val="none"/>
        </w:rPr>
        <w:t>, ki poteka enakomerno prek celega leta (neodvisno od vremena) in se ga lahko tudi hrani</w:t>
      </w:r>
      <w:r>
        <w:rPr>
          <w:rFonts w:ascii="Calibri" w:eastAsia="Times New Roman" w:hAnsi="Calibri" w:cs="Calibri"/>
          <w:color w:val="111111"/>
          <w:kern w:val="0"/>
          <w14:ligatures w14:val="none"/>
        </w:rPr>
        <w:t xml:space="preserve"> na daljše obdobje (sezonski hranilnik);</w:t>
      </w:r>
    </w:p>
    <w:p w14:paraId="36C31113" w14:textId="77777777" w:rsidR="0062505A" w:rsidRPr="005F5666" w:rsidRDefault="0062505A" w:rsidP="0062505A">
      <w:pPr>
        <w:numPr>
          <w:ilvl w:val="2"/>
          <w:numId w:val="17"/>
        </w:numPr>
        <w:spacing w:line="276" w:lineRule="auto"/>
        <w:jc w:val="both"/>
        <w:rPr>
          <w:rFonts w:ascii="Calibri" w:eastAsia="Times New Roman" w:hAnsi="Calibri" w:cs="Calibri"/>
          <w:color w:val="111111"/>
          <w:kern w:val="0"/>
          <w14:ligatures w14:val="none"/>
        </w:rPr>
      </w:pPr>
      <w:r>
        <w:rPr>
          <w:rFonts w:ascii="Calibri" w:eastAsia="Times New Roman" w:hAnsi="Calibri" w:cs="Calibri"/>
          <w:color w:val="111111"/>
          <w:kern w:val="0"/>
          <w14:ligatures w14:val="none"/>
        </w:rPr>
        <w:t>Predlagamo, da se vsebino, ki se nanaša na urejanje distribucije plina (podeljevanje koncesij, podaljševane koncesij, delovanje javnih podjetij; 8. 9. in 10. odstavek 22. člena) ureja v Zakonu o oskrbi s plini, ki je primaren zakon za distribucijo plina in ki se bo predvidoma spreminjal naslednje leto (</w:t>
      </w:r>
      <w:r w:rsidRPr="005F5666">
        <w:rPr>
          <w:rFonts w:ascii="Calibri" w:eastAsia="Times New Roman" w:hAnsi="Calibri" w:cs="Calibri"/>
          <w:color w:val="111111"/>
          <w:kern w:val="0"/>
          <w14:ligatures w14:val="none"/>
        </w:rPr>
        <w:t xml:space="preserve">Zakon o oskrbi s plini v IV. poglavju </w:t>
      </w:r>
      <w:r w:rsidRPr="005F5666">
        <w:rPr>
          <w:rFonts w:ascii="Calibri" w:eastAsia="Times New Roman" w:hAnsi="Calibri" w:cs="Calibri"/>
          <w:b/>
          <w:color w:val="111111"/>
          <w:kern w:val="0"/>
          <w14:ligatures w14:val="none"/>
        </w:rPr>
        <w:t>celovito</w:t>
      </w:r>
      <w:r>
        <w:rPr>
          <w:rFonts w:ascii="Calibri" w:eastAsia="Times New Roman" w:hAnsi="Calibri" w:cs="Calibri"/>
          <w:color w:val="111111"/>
          <w:kern w:val="0"/>
          <w14:ligatures w14:val="none"/>
        </w:rPr>
        <w:t xml:space="preserve"> </w:t>
      </w:r>
      <w:r w:rsidRPr="005F5666">
        <w:rPr>
          <w:rFonts w:ascii="Calibri" w:eastAsia="Times New Roman" w:hAnsi="Calibri" w:cs="Calibri"/>
          <w:color w:val="111111"/>
          <w:kern w:val="0"/>
          <w14:ligatures w14:val="none"/>
        </w:rPr>
        <w:t>ureja izbirno lokalno gospodarsko javno službo »dejavnost operaterja distribucijskega</w:t>
      </w:r>
      <w:r>
        <w:rPr>
          <w:rFonts w:ascii="Calibri" w:eastAsia="Times New Roman" w:hAnsi="Calibri" w:cs="Calibri"/>
          <w:color w:val="111111"/>
          <w:kern w:val="0"/>
          <w14:ligatures w14:val="none"/>
        </w:rPr>
        <w:t>).</w:t>
      </w:r>
    </w:p>
    <w:p w14:paraId="5F1BEDBD" w14:textId="77777777" w:rsidR="0062505A" w:rsidRPr="00480513" w:rsidRDefault="0062505A" w:rsidP="0062505A">
      <w:pPr>
        <w:spacing w:line="276" w:lineRule="auto"/>
        <w:jc w:val="both"/>
        <w:rPr>
          <w:rFonts w:ascii="Calibri" w:hAnsi="Calibri" w:cs="Calibri"/>
          <w:b/>
          <w:bCs/>
        </w:rPr>
      </w:pPr>
    </w:p>
    <w:p w14:paraId="4D7C56CF" w14:textId="2DEED9FF" w:rsidR="0062505A" w:rsidRPr="00480513" w:rsidRDefault="0062505A" w:rsidP="0062505A">
      <w:pPr>
        <w:spacing w:line="276" w:lineRule="auto"/>
        <w:jc w:val="both"/>
        <w:rPr>
          <w:rFonts w:ascii="Calibri" w:hAnsi="Calibri" w:cs="Calibri"/>
          <w:b/>
          <w:bCs/>
        </w:rPr>
      </w:pPr>
      <w:r w:rsidRPr="00480513">
        <w:rPr>
          <w:rFonts w:ascii="Calibri" w:hAnsi="Calibri" w:cs="Calibri"/>
          <w:b/>
          <w:bCs/>
        </w:rPr>
        <w:t>Prilog</w:t>
      </w:r>
      <w:r>
        <w:rPr>
          <w:rFonts w:ascii="Calibri" w:hAnsi="Calibri" w:cs="Calibri"/>
          <w:b/>
          <w:bCs/>
        </w:rPr>
        <w:t>i</w:t>
      </w:r>
      <w:r w:rsidRPr="00480513">
        <w:rPr>
          <w:rFonts w:ascii="Calibri" w:hAnsi="Calibri" w:cs="Calibri"/>
          <w:b/>
          <w:bCs/>
        </w:rPr>
        <w:t>:</w:t>
      </w:r>
    </w:p>
    <w:p w14:paraId="361B134C" w14:textId="77777777" w:rsidR="0062505A" w:rsidRPr="00480513" w:rsidRDefault="0062505A" w:rsidP="0062505A">
      <w:pPr>
        <w:pStyle w:val="ListParagraph"/>
        <w:numPr>
          <w:ilvl w:val="0"/>
          <w:numId w:val="9"/>
        </w:numPr>
        <w:spacing w:line="276" w:lineRule="auto"/>
        <w:jc w:val="both"/>
        <w:rPr>
          <w:rFonts w:ascii="Calibri" w:hAnsi="Calibri" w:cs="Calibri"/>
          <w:b/>
          <w:bCs/>
        </w:rPr>
      </w:pPr>
      <w:r w:rsidRPr="00480513">
        <w:rPr>
          <w:rFonts w:ascii="Calibri" w:hAnsi="Calibri" w:cs="Calibri"/>
          <w:b/>
          <w:bCs/>
        </w:rPr>
        <w:t xml:space="preserve">Predhodna ocena potenciala </w:t>
      </w:r>
      <w:proofErr w:type="spellStart"/>
      <w:r w:rsidRPr="00480513">
        <w:rPr>
          <w:rFonts w:ascii="Calibri" w:hAnsi="Calibri" w:cs="Calibri"/>
          <w:b/>
          <w:bCs/>
        </w:rPr>
        <w:t>biometana</w:t>
      </w:r>
      <w:proofErr w:type="spellEnd"/>
      <w:r w:rsidRPr="00480513">
        <w:rPr>
          <w:rFonts w:ascii="Calibri" w:hAnsi="Calibri" w:cs="Calibri"/>
          <w:b/>
          <w:bCs/>
        </w:rPr>
        <w:t xml:space="preserve"> iz kmetijstva v Sloveniji, Kmetijsko gozdarski zavod Celje</w:t>
      </w:r>
    </w:p>
    <w:p w14:paraId="47C02B1E" w14:textId="77777777" w:rsidR="0062505A" w:rsidRDefault="0062505A" w:rsidP="0062505A">
      <w:pPr>
        <w:pStyle w:val="ListParagraph"/>
        <w:numPr>
          <w:ilvl w:val="0"/>
          <w:numId w:val="9"/>
        </w:numPr>
        <w:spacing w:line="276" w:lineRule="auto"/>
        <w:jc w:val="both"/>
        <w:rPr>
          <w:rFonts w:ascii="Calibri" w:hAnsi="Calibri" w:cs="Calibri"/>
          <w:b/>
          <w:bCs/>
        </w:rPr>
      </w:pPr>
      <w:r w:rsidRPr="00480513">
        <w:rPr>
          <w:rFonts w:ascii="Calibri" w:hAnsi="Calibri" w:cs="Calibri"/>
          <w:b/>
          <w:bCs/>
        </w:rPr>
        <w:t xml:space="preserve">Izračun dodatnih stroškov </w:t>
      </w:r>
      <w:proofErr w:type="spellStart"/>
      <w:r w:rsidRPr="00480513">
        <w:rPr>
          <w:rFonts w:ascii="Calibri" w:hAnsi="Calibri" w:cs="Calibri"/>
          <w:b/>
          <w:bCs/>
        </w:rPr>
        <w:t>elektrooperaterjev</w:t>
      </w:r>
      <w:proofErr w:type="spellEnd"/>
    </w:p>
    <w:p w14:paraId="6DB8ABE4" w14:textId="77777777" w:rsidR="0062505A" w:rsidRPr="00480513" w:rsidRDefault="0062505A" w:rsidP="0062505A">
      <w:pPr>
        <w:spacing w:line="276" w:lineRule="auto"/>
        <w:jc w:val="both"/>
        <w:rPr>
          <w:rFonts w:ascii="Calibri" w:hAnsi="Calibri" w:cs="Calibri"/>
          <w:bCs/>
        </w:rPr>
      </w:pPr>
    </w:p>
    <w:p w14:paraId="60A7356C" w14:textId="77777777" w:rsidR="0062505A" w:rsidRPr="00480513" w:rsidRDefault="0062505A" w:rsidP="0062505A">
      <w:pPr>
        <w:spacing w:line="276" w:lineRule="auto"/>
        <w:jc w:val="both"/>
        <w:rPr>
          <w:rFonts w:ascii="Calibri" w:hAnsi="Calibri" w:cs="Calibri"/>
          <w:bCs/>
        </w:rPr>
      </w:pPr>
      <w:r w:rsidRPr="00480513">
        <w:rPr>
          <w:rFonts w:ascii="Calibri" w:hAnsi="Calibri" w:cs="Calibri"/>
          <w:bCs/>
        </w:rPr>
        <w:t xml:space="preserve">GIZ-DZP </w:t>
      </w:r>
    </w:p>
    <w:p w14:paraId="09B96A25" w14:textId="77777777" w:rsidR="0062505A" w:rsidRPr="00480513" w:rsidRDefault="0062505A" w:rsidP="0062505A">
      <w:pPr>
        <w:spacing w:line="276" w:lineRule="auto"/>
        <w:jc w:val="both"/>
        <w:rPr>
          <w:rFonts w:ascii="Calibri" w:hAnsi="Calibri" w:cs="Calibri"/>
          <w:bCs/>
        </w:rPr>
      </w:pPr>
      <w:r w:rsidRPr="00480513">
        <w:rPr>
          <w:rFonts w:ascii="Calibri" w:hAnsi="Calibri" w:cs="Calibri"/>
          <w:bCs/>
        </w:rPr>
        <w:t xml:space="preserve">mag. Urban Odar, direktor </w:t>
      </w:r>
    </w:p>
    <w:p w14:paraId="44E5C5FF" w14:textId="77777777" w:rsidR="0062505A" w:rsidRDefault="0062505A" w:rsidP="0062505A">
      <w:pPr>
        <w:spacing w:line="276" w:lineRule="auto"/>
        <w:jc w:val="both"/>
        <w:rPr>
          <w:rFonts w:ascii="Calibri" w:hAnsi="Calibri" w:cs="Calibri"/>
          <w:bCs/>
        </w:rPr>
      </w:pPr>
    </w:p>
    <w:p w14:paraId="3DE99CC1" w14:textId="77777777" w:rsidR="0062505A" w:rsidRPr="00980B15" w:rsidRDefault="0062505A" w:rsidP="0062505A">
      <w:pPr>
        <w:spacing w:line="276" w:lineRule="auto"/>
        <w:jc w:val="both"/>
        <w:rPr>
          <w:rFonts w:ascii="Calibri" w:hAnsi="Calibri" w:cs="Calibri"/>
          <w:b/>
        </w:rPr>
      </w:pPr>
      <w:r w:rsidRPr="00980B15">
        <w:rPr>
          <w:bCs/>
        </w:rPr>
        <w:t>Ve</w:t>
      </w:r>
      <w:r w:rsidRPr="00980B15">
        <w:rPr>
          <w:rFonts w:ascii="Calibri" w:hAnsi="Calibri" w:cs="Calibri"/>
          <w:bCs/>
        </w:rPr>
        <w:t xml:space="preserve">č o vsebinah na spletni strani: </w:t>
      </w:r>
      <w:hyperlink r:id="rId13" w:history="1">
        <w:r w:rsidRPr="00980B15">
          <w:rPr>
            <w:rFonts w:ascii="Calibri" w:hAnsi="Calibri" w:cs="Calibri"/>
            <w:bCs/>
            <w:color w:val="0000FF"/>
            <w:u w:val="single"/>
          </w:rPr>
          <w:t>www.zemeljski-plin.si</w:t>
        </w:r>
      </w:hyperlink>
      <w:r w:rsidRPr="00980B15">
        <w:rPr>
          <w:rFonts w:ascii="Calibri" w:hAnsi="Calibri" w:cs="Calibri"/>
          <w:bCs/>
        </w:rPr>
        <w:t xml:space="preserve">, podstran </w:t>
      </w:r>
      <w:r w:rsidRPr="00980B15">
        <w:rPr>
          <w:rFonts w:ascii="Calibri" w:hAnsi="Calibri" w:cs="Calibri"/>
          <w:b/>
        </w:rPr>
        <w:t>AKTUALNO-energetski zakon-2</w:t>
      </w:r>
    </w:p>
    <w:p w14:paraId="1CC22255" w14:textId="77777777" w:rsidR="0062505A" w:rsidRDefault="0062505A">
      <w:pPr>
        <w:rPr>
          <w:b/>
          <w:bCs/>
        </w:rPr>
      </w:pPr>
      <w:r>
        <w:rPr>
          <w:b/>
          <w:bCs/>
        </w:rPr>
        <w:lastRenderedPageBreak/>
        <w:br w:type="page"/>
      </w:r>
    </w:p>
    <w:p w14:paraId="6D5B0C03" w14:textId="4C7734FE" w:rsidR="0062505A" w:rsidRPr="000F7E7A" w:rsidRDefault="000F7E7A" w:rsidP="00D26F80">
      <w:pPr>
        <w:spacing w:line="276" w:lineRule="auto"/>
        <w:jc w:val="both"/>
        <w:rPr>
          <w:rFonts w:ascii="Calibri" w:hAnsi="Calibri" w:cs="Calibri"/>
          <w:b/>
          <w:bCs/>
          <w:sz w:val="28"/>
          <w:szCs w:val="28"/>
        </w:rPr>
      </w:pPr>
      <w:r w:rsidRPr="000F7E7A">
        <w:rPr>
          <w:rFonts w:ascii="Calibri" w:hAnsi="Calibri" w:cs="Calibri"/>
          <w:b/>
          <w:bCs/>
          <w:sz w:val="28"/>
          <w:szCs w:val="28"/>
        </w:rPr>
        <w:lastRenderedPageBreak/>
        <w:t>Prilogi:</w:t>
      </w:r>
    </w:p>
    <w:p w14:paraId="0B29954A" w14:textId="77777777" w:rsidR="0062505A" w:rsidRDefault="0062505A" w:rsidP="0062505A">
      <w:pPr>
        <w:rPr>
          <w:rFonts w:ascii="Calibri" w:hAnsi="Calibri" w:cs="Calibri"/>
          <w:b/>
          <w:bCs/>
        </w:rPr>
      </w:pPr>
    </w:p>
    <w:p w14:paraId="5550E729" w14:textId="77777777" w:rsidR="0062505A" w:rsidRPr="00480513" w:rsidRDefault="0062505A" w:rsidP="0062505A">
      <w:pPr>
        <w:rPr>
          <w:rFonts w:ascii="Calibri" w:hAnsi="Calibri" w:cs="Calibri"/>
          <w:b/>
          <w:bCs/>
        </w:rPr>
      </w:pPr>
      <w:r w:rsidRPr="00480513">
        <w:rPr>
          <w:rFonts w:ascii="Calibri" w:hAnsi="Calibri" w:cs="Calibri"/>
          <w:b/>
          <w:bCs/>
        </w:rPr>
        <w:t xml:space="preserve">Izračun dodatnih stroškov </w:t>
      </w:r>
      <w:proofErr w:type="spellStart"/>
      <w:r w:rsidRPr="00480513">
        <w:rPr>
          <w:rFonts w:ascii="Calibri" w:hAnsi="Calibri" w:cs="Calibri"/>
          <w:b/>
          <w:bCs/>
        </w:rPr>
        <w:t>elektrooperaterjev</w:t>
      </w:r>
      <w:proofErr w:type="spellEnd"/>
    </w:p>
    <w:p w14:paraId="1BC10157" w14:textId="77777777" w:rsidR="0062505A" w:rsidRPr="00480513" w:rsidRDefault="0062505A" w:rsidP="0062505A">
      <w:pPr>
        <w:spacing w:line="276" w:lineRule="auto"/>
        <w:jc w:val="both"/>
        <w:rPr>
          <w:rFonts w:ascii="Calibri" w:hAnsi="Calibri" w:cs="Calibri"/>
          <w:bCs/>
        </w:rPr>
      </w:pPr>
    </w:p>
    <w:p w14:paraId="565D1A3B" w14:textId="77777777" w:rsidR="0062505A" w:rsidRPr="00480513" w:rsidRDefault="0062505A" w:rsidP="0062505A">
      <w:pPr>
        <w:spacing w:line="276" w:lineRule="auto"/>
        <w:jc w:val="both"/>
        <w:rPr>
          <w:rFonts w:ascii="Calibri" w:hAnsi="Calibri" w:cs="Calibri"/>
          <w:bCs/>
        </w:rPr>
      </w:pPr>
      <w:r w:rsidRPr="00480513">
        <w:rPr>
          <w:rFonts w:ascii="Calibri" w:hAnsi="Calibri" w:cs="Calibri"/>
          <w:bCs/>
        </w:rPr>
        <w:t xml:space="preserve">V nadaljevanju je naveden poenostavljen izračun dodatnih upravičenih stroškov </w:t>
      </w:r>
      <w:proofErr w:type="spellStart"/>
      <w:r w:rsidRPr="00480513">
        <w:rPr>
          <w:rFonts w:ascii="Calibri" w:hAnsi="Calibri" w:cs="Calibri"/>
          <w:bCs/>
        </w:rPr>
        <w:t>elektrooperaterjev</w:t>
      </w:r>
      <w:proofErr w:type="spellEnd"/>
      <w:r w:rsidRPr="00480513">
        <w:rPr>
          <w:rFonts w:ascii="Calibri" w:hAnsi="Calibri" w:cs="Calibri"/>
          <w:bCs/>
        </w:rPr>
        <w:t xml:space="preserve"> zaradi predvidenih vlaganj v distribucijsko električno omrežje v višini 4,5 milijarde EUR  na podlagi Akta o metodologiji za določitev regulativnega okvira za </w:t>
      </w:r>
      <w:proofErr w:type="spellStart"/>
      <w:r w:rsidRPr="00480513">
        <w:rPr>
          <w:rFonts w:ascii="Calibri" w:hAnsi="Calibri" w:cs="Calibri"/>
          <w:bCs/>
        </w:rPr>
        <w:t>elektrooperaterje</w:t>
      </w:r>
      <w:proofErr w:type="spellEnd"/>
      <w:r w:rsidRPr="00480513">
        <w:rPr>
          <w:rFonts w:ascii="Calibri" w:hAnsi="Calibri" w:cs="Calibri"/>
          <w:bCs/>
        </w:rPr>
        <w:t xml:space="preserve"> (Uradni list RS 123/22 2/23 - </w:t>
      </w:r>
      <w:proofErr w:type="spellStart"/>
      <w:r w:rsidRPr="00480513">
        <w:rPr>
          <w:rFonts w:ascii="Calibri" w:hAnsi="Calibri" w:cs="Calibri"/>
          <w:bCs/>
        </w:rPr>
        <w:t>popr</w:t>
      </w:r>
      <w:proofErr w:type="spellEnd"/>
      <w:r w:rsidRPr="00480513">
        <w:rPr>
          <w:rFonts w:ascii="Calibri" w:hAnsi="Calibri" w:cs="Calibri"/>
          <w:bCs/>
        </w:rPr>
        <w:t>.).</w:t>
      </w:r>
    </w:p>
    <w:p w14:paraId="4CC4290B" w14:textId="77777777" w:rsidR="0062505A" w:rsidRPr="00480513" w:rsidRDefault="0062505A" w:rsidP="0062505A">
      <w:pPr>
        <w:pStyle w:val="ListParagraph"/>
        <w:numPr>
          <w:ilvl w:val="0"/>
          <w:numId w:val="9"/>
        </w:numPr>
        <w:spacing w:line="276" w:lineRule="auto"/>
        <w:jc w:val="both"/>
        <w:rPr>
          <w:rFonts w:ascii="Calibri" w:hAnsi="Calibri" w:cs="Calibri"/>
          <w:bCs/>
        </w:rPr>
      </w:pPr>
      <w:r w:rsidRPr="00480513">
        <w:rPr>
          <w:rFonts w:ascii="Calibri" w:hAnsi="Calibri" w:cs="Calibri"/>
          <w:bCs/>
        </w:rPr>
        <w:t>Višina vloženih sredstev v električno omrežje: 4,5 mrd Eurov</w:t>
      </w:r>
    </w:p>
    <w:p w14:paraId="1C675C25" w14:textId="77777777" w:rsidR="0062505A" w:rsidRPr="00480513" w:rsidRDefault="0062505A" w:rsidP="0062505A">
      <w:pPr>
        <w:pStyle w:val="ListParagraph"/>
        <w:numPr>
          <w:ilvl w:val="0"/>
          <w:numId w:val="9"/>
        </w:numPr>
        <w:spacing w:line="276" w:lineRule="auto"/>
        <w:jc w:val="both"/>
        <w:rPr>
          <w:rFonts w:ascii="Calibri" w:hAnsi="Calibri" w:cs="Calibri"/>
          <w:bCs/>
        </w:rPr>
      </w:pPr>
      <w:r w:rsidRPr="00480513">
        <w:rPr>
          <w:rFonts w:ascii="Calibri" w:hAnsi="Calibri" w:cs="Calibri"/>
          <w:bCs/>
        </w:rPr>
        <w:t>Dodatna letna amortizacija: 112 mio Eur (ob predpostavljeni 40 letni amortizacijski dobi)</w:t>
      </w:r>
    </w:p>
    <w:p w14:paraId="4446C66A" w14:textId="77777777" w:rsidR="0062505A" w:rsidRPr="00480513" w:rsidRDefault="0062505A" w:rsidP="0062505A">
      <w:pPr>
        <w:pStyle w:val="ListParagraph"/>
        <w:numPr>
          <w:ilvl w:val="0"/>
          <w:numId w:val="9"/>
        </w:numPr>
        <w:spacing w:line="276" w:lineRule="auto"/>
        <w:jc w:val="both"/>
        <w:rPr>
          <w:rFonts w:ascii="Calibri" w:hAnsi="Calibri" w:cs="Calibri"/>
          <w:bCs/>
        </w:rPr>
      </w:pPr>
      <w:r w:rsidRPr="00480513">
        <w:rPr>
          <w:rFonts w:ascii="Calibri" w:hAnsi="Calibri" w:cs="Calibri"/>
          <w:bCs/>
        </w:rPr>
        <w:t>Dodatni letni regulirani donos: 231 mio Eurov</w:t>
      </w:r>
    </w:p>
    <w:p w14:paraId="6A36BB94" w14:textId="77777777" w:rsidR="0062505A" w:rsidRPr="00480513" w:rsidRDefault="0062505A" w:rsidP="0062505A">
      <w:pPr>
        <w:pStyle w:val="ListParagraph"/>
        <w:numPr>
          <w:ilvl w:val="0"/>
          <w:numId w:val="9"/>
        </w:numPr>
        <w:spacing w:line="276" w:lineRule="auto"/>
        <w:jc w:val="both"/>
        <w:rPr>
          <w:rFonts w:ascii="Calibri" w:hAnsi="Calibri" w:cs="Calibri"/>
          <w:bCs/>
        </w:rPr>
      </w:pPr>
      <w:r w:rsidRPr="00480513">
        <w:rPr>
          <w:rFonts w:ascii="Calibri" w:hAnsi="Calibri" w:cs="Calibri"/>
          <w:bCs/>
        </w:rPr>
        <w:t>Skupaj: 344 mio eurov dodatnih stroškov na leto</w:t>
      </w:r>
    </w:p>
    <w:p w14:paraId="50C70C42" w14:textId="77777777" w:rsidR="0062505A" w:rsidRPr="00480513" w:rsidRDefault="0062505A" w:rsidP="0062505A">
      <w:pPr>
        <w:pStyle w:val="ListParagraph"/>
        <w:numPr>
          <w:ilvl w:val="0"/>
          <w:numId w:val="9"/>
        </w:numPr>
        <w:spacing w:line="276" w:lineRule="auto"/>
        <w:jc w:val="both"/>
        <w:rPr>
          <w:rFonts w:ascii="Calibri" w:hAnsi="Calibri" w:cs="Calibri"/>
          <w:bCs/>
        </w:rPr>
      </w:pPr>
      <w:r w:rsidRPr="00480513">
        <w:rPr>
          <w:rFonts w:ascii="Calibri" w:hAnsi="Calibri" w:cs="Calibri"/>
          <w:bCs/>
        </w:rPr>
        <w:t>Prihodki danes: 270 mio Eurov</w:t>
      </w:r>
    </w:p>
    <w:p w14:paraId="7F2E249A" w14:textId="77777777" w:rsidR="0062505A" w:rsidRPr="00480513" w:rsidRDefault="0062505A" w:rsidP="0062505A">
      <w:pPr>
        <w:spacing w:line="276" w:lineRule="auto"/>
        <w:jc w:val="both"/>
        <w:rPr>
          <w:rFonts w:ascii="Calibri" w:hAnsi="Calibri" w:cs="Calibri"/>
          <w:bCs/>
        </w:rPr>
      </w:pPr>
      <w:r w:rsidRPr="00480513">
        <w:rPr>
          <w:rFonts w:ascii="Calibri" w:hAnsi="Calibri" w:cs="Calibri"/>
          <w:bCs/>
        </w:rPr>
        <w:t>Dopuščamo možnost, da se del teh sredstev lahko dobi iz raznih skladov, vendar je verjetno to le manjši del.</w:t>
      </w:r>
    </w:p>
    <w:p w14:paraId="283F25FA" w14:textId="77777777" w:rsidR="0062505A" w:rsidRPr="00480513" w:rsidRDefault="0062505A" w:rsidP="0062505A">
      <w:pPr>
        <w:spacing w:line="276" w:lineRule="auto"/>
        <w:jc w:val="both"/>
        <w:rPr>
          <w:rFonts w:ascii="Calibri" w:hAnsi="Calibri" w:cs="Calibri"/>
          <w:b/>
          <w:bCs/>
        </w:rPr>
      </w:pPr>
      <w:r w:rsidRPr="00480513">
        <w:rPr>
          <w:rFonts w:ascii="Calibri" w:hAnsi="Calibri" w:cs="Calibri"/>
          <w:b/>
          <w:bCs/>
        </w:rPr>
        <w:t>Vprašanje: Kakšno bo višina za električno omrežje leta 2030, 2033 ali leta 2034?</w:t>
      </w:r>
    </w:p>
    <w:p w14:paraId="19A0AF61" w14:textId="77777777" w:rsidR="0062505A" w:rsidRPr="00480513" w:rsidRDefault="0062505A" w:rsidP="0062505A">
      <w:pPr>
        <w:spacing w:line="276" w:lineRule="auto"/>
        <w:jc w:val="both"/>
        <w:rPr>
          <w:rFonts w:ascii="Calibri" w:hAnsi="Calibri" w:cs="Calibri"/>
          <w:bCs/>
        </w:rPr>
      </w:pPr>
    </w:p>
    <w:p w14:paraId="1525AFC5" w14:textId="77777777" w:rsidR="0062505A" w:rsidRPr="009F4043" w:rsidRDefault="0062505A" w:rsidP="00D26F80">
      <w:pPr>
        <w:spacing w:line="276" w:lineRule="auto"/>
        <w:jc w:val="both"/>
        <w:rPr>
          <w:rFonts w:ascii="Calibri" w:hAnsi="Calibri" w:cs="Calibri"/>
          <w:bCs/>
        </w:rPr>
      </w:pPr>
    </w:p>
    <w:sectPr w:rsidR="0062505A" w:rsidRPr="009F404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D239E" w14:textId="77777777" w:rsidR="00FC71F7" w:rsidRDefault="00FC71F7" w:rsidP="00FC71F7">
      <w:pPr>
        <w:spacing w:after="0" w:line="240" w:lineRule="auto"/>
      </w:pPr>
      <w:r>
        <w:separator/>
      </w:r>
    </w:p>
  </w:endnote>
  <w:endnote w:type="continuationSeparator" w:id="0">
    <w:p w14:paraId="7371ABE0" w14:textId="77777777" w:rsidR="00FC71F7" w:rsidRDefault="00FC71F7" w:rsidP="00FC7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5921725"/>
      <w:docPartObj>
        <w:docPartGallery w:val="Page Numbers (Bottom of Page)"/>
        <w:docPartUnique/>
      </w:docPartObj>
    </w:sdtPr>
    <w:sdtEndPr>
      <w:rPr>
        <w:noProof/>
      </w:rPr>
    </w:sdtEndPr>
    <w:sdtContent>
      <w:p w14:paraId="32E2CB00" w14:textId="6ED57DF5" w:rsidR="00FC71F7" w:rsidRDefault="00FC71F7">
        <w:pPr>
          <w:pStyle w:val="Footer"/>
        </w:pPr>
        <w:r>
          <w:fldChar w:fldCharType="begin"/>
        </w:r>
        <w:r>
          <w:instrText xml:space="preserve"> PAGE   \* MERGEFORMAT </w:instrText>
        </w:r>
        <w:r>
          <w:fldChar w:fldCharType="separate"/>
        </w:r>
        <w:r w:rsidR="006D26A6">
          <w:rPr>
            <w:noProof/>
          </w:rPr>
          <w:t>7</w:t>
        </w:r>
        <w:r>
          <w:rPr>
            <w:noProof/>
          </w:rPr>
          <w:fldChar w:fldCharType="end"/>
        </w:r>
      </w:p>
    </w:sdtContent>
  </w:sdt>
  <w:p w14:paraId="1C0E02EB" w14:textId="77777777" w:rsidR="00FC71F7" w:rsidRDefault="00FC7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1EA14" w14:textId="77777777" w:rsidR="00FC71F7" w:rsidRDefault="00FC71F7" w:rsidP="00FC71F7">
      <w:pPr>
        <w:spacing w:after="0" w:line="240" w:lineRule="auto"/>
      </w:pPr>
      <w:r>
        <w:separator/>
      </w:r>
    </w:p>
  </w:footnote>
  <w:footnote w:type="continuationSeparator" w:id="0">
    <w:p w14:paraId="3BA06338" w14:textId="77777777" w:rsidR="00FC71F7" w:rsidRDefault="00FC71F7" w:rsidP="00FC71F7">
      <w:pPr>
        <w:spacing w:after="0" w:line="240" w:lineRule="auto"/>
      </w:pPr>
      <w:r>
        <w:continuationSeparator/>
      </w:r>
    </w:p>
  </w:footnote>
  <w:footnote w:id="1">
    <w:p w14:paraId="11AAF636" w14:textId="77777777" w:rsidR="0062505A" w:rsidRDefault="0062505A" w:rsidP="0062505A">
      <w:pPr>
        <w:pStyle w:val="FootnoteText"/>
      </w:pPr>
      <w:r>
        <w:rPr>
          <w:rStyle w:val="FootnoteReference"/>
        </w:rPr>
        <w:footnoteRef/>
      </w:r>
      <w:r>
        <w:t xml:space="preserve"> </w:t>
      </w:r>
      <w:r w:rsidRPr="00022EC3">
        <w:rPr>
          <w:rFonts w:ascii="Calibri" w:hAnsi="Calibri" w:cs="Calibri"/>
          <w:b/>
          <w:sz w:val="22"/>
          <w:szCs w:val="22"/>
        </w:rPr>
        <w:t>Celotna študija je v prilogi.</w:t>
      </w:r>
    </w:p>
  </w:footnote>
  <w:footnote w:id="2">
    <w:p w14:paraId="66B4390D" w14:textId="77777777" w:rsidR="0062505A" w:rsidRPr="00B8327F" w:rsidRDefault="0062505A" w:rsidP="0062505A">
      <w:pPr>
        <w:pStyle w:val="FootnoteText"/>
        <w:rPr>
          <w:sz w:val="18"/>
          <w:szCs w:val="18"/>
        </w:rPr>
      </w:pPr>
      <w:r>
        <w:rPr>
          <w:rStyle w:val="FootnoteReference"/>
        </w:rPr>
        <w:footnoteRef/>
      </w:r>
      <w:r>
        <w:t xml:space="preserve"> </w:t>
      </w:r>
      <w:r w:rsidRPr="00B8327F">
        <w:rPr>
          <w:sz w:val="18"/>
          <w:szCs w:val="18"/>
        </w:rPr>
        <w:t>Vir: Razvojni načrt distribucijskega sistema električne energije v Republiki Sloveniji za desetletno obdobje od leta 2025 do leta 2034 - posvetovalni dokument, www.eles.si.</w:t>
      </w:r>
    </w:p>
  </w:footnote>
  <w:footnote w:id="3">
    <w:p w14:paraId="2AFD93D9" w14:textId="77777777" w:rsidR="0062505A" w:rsidRPr="00B8327F" w:rsidRDefault="0062505A" w:rsidP="0062505A">
      <w:pPr>
        <w:pStyle w:val="FootnoteText"/>
        <w:rPr>
          <w:sz w:val="18"/>
          <w:szCs w:val="18"/>
        </w:rPr>
      </w:pPr>
      <w:r w:rsidRPr="00B8327F">
        <w:rPr>
          <w:rStyle w:val="FootnoteReference"/>
          <w:sz w:val="18"/>
          <w:szCs w:val="18"/>
        </w:rPr>
        <w:footnoteRef/>
      </w:r>
      <w:r w:rsidRPr="00B8327F">
        <w:rPr>
          <w:sz w:val="18"/>
          <w:szCs w:val="18"/>
        </w:rPr>
        <w:t xml:space="preserve"> V prilogi je narejen izračun dodatnih stroškov </w:t>
      </w:r>
      <w:r>
        <w:rPr>
          <w:sz w:val="18"/>
          <w:szCs w:val="18"/>
        </w:rPr>
        <w:t xml:space="preserve">elektro operaterja </w:t>
      </w:r>
      <w:r w:rsidRPr="00B8327F">
        <w:rPr>
          <w:sz w:val="18"/>
          <w:szCs w:val="18"/>
        </w:rPr>
        <w:t xml:space="preserve">po veljavni zakonodaji - (Akt o metodologiji za določitev regulativnega okvira za </w:t>
      </w:r>
      <w:proofErr w:type="spellStart"/>
      <w:r w:rsidRPr="00B8327F">
        <w:rPr>
          <w:sz w:val="18"/>
          <w:szCs w:val="18"/>
        </w:rPr>
        <w:t>elektrooperaterje</w:t>
      </w:r>
      <w:proofErr w:type="spellEnd"/>
      <w:r>
        <w:rPr>
          <w:sz w:val="18"/>
          <w:szCs w:val="18"/>
        </w:rPr>
        <w:t>,</w:t>
      </w:r>
      <w:r w:rsidRPr="00B8327F">
        <w:rPr>
          <w:sz w:val="18"/>
          <w:szCs w:val="18"/>
        </w:rPr>
        <w:t xml:space="preserve"> Uradni list RS 123/22,  2/23 - </w:t>
      </w:r>
      <w:proofErr w:type="spellStart"/>
      <w:r w:rsidRPr="00B8327F">
        <w:rPr>
          <w:sz w:val="18"/>
          <w:szCs w:val="18"/>
        </w:rPr>
        <w:t>popr</w:t>
      </w:r>
      <w:proofErr w:type="spellEnd"/>
      <w:r w:rsidRPr="00B8327F">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A3BDB"/>
    <w:multiLevelType w:val="hybridMultilevel"/>
    <w:tmpl w:val="1D1C3C94"/>
    <w:lvl w:ilvl="0" w:tplc="E6EA224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556987"/>
    <w:multiLevelType w:val="hybridMultilevel"/>
    <w:tmpl w:val="4DB6D736"/>
    <w:lvl w:ilvl="0" w:tplc="C560A630">
      <w:start w:val="1"/>
      <w:numFmt w:val="bullet"/>
      <w:lvlText w:val=""/>
      <w:lvlJc w:val="left"/>
      <w:pPr>
        <w:tabs>
          <w:tab w:val="num" w:pos="720"/>
        </w:tabs>
        <w:ind w:left="720" w:hanging="360"/>
      </w:pPr>
      <w:rPr>
        <w:rFonts w:ascii="Wingdings" w:hAnsi="Wingdings" w:hint="default"/>
      </w:rPr>
    </w:lvl>
    <w:lvl w:ilvl="1" w:tplc="201C3786" w:tentative="1">
      <w:start w:val="1"/>
      <w:numFmt w:val="bullet"/>
      <w:lvlText w:val=""/>
      <w:lvlJc w:val="left"/>
      <w:pPr>
        <w:tabs>
          <w:tab w:val="num" w:pos="1440"/>
        </w:tabs>
        <w:ind w:left="1440" w:hanging="360"/>
      </w:pPr>
      <w:rPr>
        <w:rFonts w:ascii="Wingdings" w:hAnsi="Wingdings" w:hint="default"/>
      </w:rPr>
    </w:lvl>
    <w:lvl w:ilvl="2" w:tplc="88BC19F4" w:tentative="1">
      <w:start w:val="1"/>
      <w:numFmt w:val="bullet"/>
      <w:lvlText w:val=""/>
      <w:lvlJc w:val="left"/>
      <w:pPr>
        <w:tabs>
          <w:tab w:val="num" w:pos="2160"/>
        </w:tabs>
        <w:ind w:left="2160" w:hanging="360"/>
      </w:pPr>
      <w:rPr>
        <w:rFonts w:ascii="Wingdings" w:hAnsi="Wingdings" w:hint="default"/>
      </w:rPr>
    </w:lvl>
    <w:lvl w:ilvl="3" w:tplc="FBD4A360" w:tentative="1">
      <w:start w:val="1"/>
      <w:numFmt w:val="bullet"/>
      <w:lvlText w:val=""/>
      <w:lvlJc w:val="left"/>
      <w:pPr>
        <w:tabs>
          <w:tab w:val="num" w:pos="2880"/>
        </w:tabs>
        <w:ind w:left="2880" w:hanging="360"/>
      </w:pPr>
      <w:rPr>
        <w:rFonts w:ascii="Wingdings" w:hAnsi="Wingdings" w:hint="default"/>
      </w:rPr>
    </w:lvl>
    <w:lvl w:ilvl="4" w:tplc="37563052" w:tentative="1">
      <w:start w:val="1"/>
      <w:numFmt w:val="bullet"/>
      <w:lvlText w:val=""/>
      <w:lvlJc w:val="left"/>
      <w:pPr>
        <w:tabs>
          <w:tab w:val="num" w:pos="3600"/>
        </w:tabs>
        <w:ind w:left="3600" w:hanging="360"/>
      </w:pPr>
      <w:rPr>
        <w:rFonts w:ascii="Wingdings" w:hAnsi="Wingdings" w:hint="default"/>
      </w:rPr>
    </w:lvl>
    <w:lvl w:ilvl="5" w:tplc="2E723E3A" w:tentative="1">
      <w:start w:val="1"/>
      <w:numFmt w:val="bullet"/>
      <w:lvlText w:val=""/>
      <w:lvlJc w:val="left"/>
      <w:pPr>
        <w:tabs>
          <w:tab w:val="num" w:pos="4320"/>
        </w:tabs>
        <w:ind w:left="4320" w:hanging="360"/>
      </w:pPr>
      <w:rPr>
        <w:rFonts w:ascii="Wingdings" w:hAnsi="Wingdings" w:hint="default"/>
      </w:rPr>
    </w:lvl>
    <w:lvl w:ilvl="6" w:tplc="A3125E38" w:tentative="1">
      <w:start w:val="1"/>
      <w:numFmt w:val="bullet"/>
      <w:lvlText w:val=""/>
      <w:lvlJc w:val="left"/>
      <w:pPr>
        <w:tabs>
          <w:tab w:val="num" w:pos="5040"/>
        </w:tabs>
        <w:ind w:left="5040" w:hanging="360"/>
      </w:pPr>
      <w:rPr>
        <w:rFonts w:ascii="Wingdings" w:hAnsi="Wingdings" w:hint="default"/>
      </w:rPr>
    </w:lvl>
    <w:lvl w:ilvl="7" w:tplc="FED61CAC" w:tentative="1">
      <w:start w:val="1"/>
      <w:numFmt w:val="bullet"/>
      <w:lvlText w:val=""/>
      <w:lvlJc w:val="left"/>
      <w:pPr>
        <w:tabs>
          <w:tab w:val="num" w:pos="5760"/>
        </w:tabs>
        <w:ind w:left="5760" w:hanging="360"/>
      </w:pPr>
      <w:rPr>
        <w:rFonts w:ascii="Wingdings" w:hAnsi="Wingdings" w:hint="default"/>
      </w:rPr>
    </w:lvl>
    <w:lvl w:ilvl="8" w:tplc="56B6E4B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27D08"/>
    <w:multiLevelType w:val="hybridMultilevel"/>
    <w:tmpl w:val="46384A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F2C1679"/>
    <w:multiLevelType w:val="hybridMultilevel"/>
    <w:tmpl w:val="72D61C3E"/>
    <w:lvl w:ilvl="0" w:tplc="19F41282">
      <w:numFmt w:val="bullet"/>
      <w:lvlText w:val="-"/>
      <w:lvlJc w:val="left"/>
      <w:pPr>
        <w:ind w:left="720" w:hanging="360"/>
      </w:pPr>
      <w:rPr>
        <w:rFonts w:ascii="Aptos" w:eastAsia="Times New Roman" w:hAnsi="Aptos" w:cs="Open San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F716E7B"/>
    <w:multiLevelType w:val="hybridMultilevel"/>
    <w:tmpl w:val="C5061DA0"/>
    <w:lvl w:ilvl="0" w:tplc="293066B0">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4C2604E"/>
    <w:multiLevelType w:val="hybridMultilevel"/>
    <w:tmpl w:val="D4DA2B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ACA4DC3"/>
    <w:multiLevelType w:val="hybridMultilevel"/>
    <w:tmpl w:val="CC624D3A"/>
    <w:lvl w:ilvl="0" w:tplc="07DA9474">
      <w:start w:val="1"/>
      <w:numFmt w:val="bullet"/>
      <w:lvlText w:val=""/>
      <w:lvlJc w:val="left"/>
      <w:pPr>
        <w:tabs>
          <w:tab w:val="num" w:pos="720"/>
        </w:tabs>
        <w:ind w:left="720" w:hanging="360"/>
      </w:pPr>
      <w:rPr>
        <w:rFonts w:ascii="Wingdings" w:hAnsi="Wingdings" w:hint="default"/>
      </w:rPr>
    </w:lvl>
    <w:lvl w:ilvl="1" w:tplc="A948B308" w:tentative="1">
      <w:start w:val="1"/>
      <w:numFmt w:val="bullet"/>
      <w:lvlText w:val=""/>
      <w:lvlJc w:val="left"/>
      <w:pPr>
        <w:tabs>
          <w:tab w:val="num" w:pos="1440"/>
        </w:tabs>
        <w:ind w:left="1440" w:hanging="360"/>
      </w:pPr>
      <w:rPr>
        <w:rFonts w:ascii="Wingdings" w:hAnsi="Wingdings" w:hint="default"/>
      </w:rPr>
    </w:lvl>
    <w:lvl w:ilvl="2" w:tplc="CBF0736A">
      <w:start w:val="1"/>
      <w:numFmt w:val="bullet"/>
      <w:lvlText w:val=""/>
      <w:lvlJc w:val="left"/>
      <w:pPr>
        <w:tabs>
          <w:tab w:val="num" w:pos="2160"/>
        </w:tabs>
        <w:ind w:left="2160" w:hanging="360"/>
      </w:pPr>
      <w:rPr>
        <w:rFonts w:ascii="Wingdings" w:hAnsi="Wingdings" w:hint="default"/>
      </w:rPr>
    </w:lvl>
    <w:lvl w:ilvl="3" w:tplc="25849382" w:tentative="1">
      <w:start w:val="1"/>
      <w:numFmt w:val="bullet"/>
      <w:lvlText w:val=""/>
      <w:lvlJc w:val="left"/>
      <w:pPr>
        <w:tabs>
          <w:tab w:val="num" w:pos="2880"/>
        </w:tabs>
        <w:ind w:left="2880" w:hanging="360"/>
      </w:pPr>
      <w:rPr>
        <w:rFonts w:ascii="Wingdings" w:hAnsi="Wingdings" w:hint="default"/>
      </w:rPr>
    </w:lvl>
    <w:lvl w:ilvl="4" w:tplc="88767AB4" w:tentative="1">
      <w:start w:val="1"/>
      <w:numFmt w:val="bullet"/>
      <w:lvlText w:val=""/>
      <w:lvlJc w:val="left"/>
      <w:pPr>
        <w:tabs>
          <w:tab w:val="num" w:pos="3600"/>
        </w:tabs>
        <w:ind w:left="3600" w:hanging="360"/>
      </w:pPr>
      <w:rPr>
        <w:rFonts w:ascii="Wingdings" w:hAnsi="Wingdings" w:hint="default"/>
      </w:rPr>
    </w:lvl>
    <w:lvl w:ilvl="5" w:tplc="CE10F18A" w:tentative="1">
      <w:start w:val="1"/>
      <w:numFmt w:val="bullet"/>
      <w:lvlText w:val=""/>
      <w:lvlJc w:val="left"/>
      <w:pPr>
        <w:tabs>
          <w:tab w:val="num" w:pos="4320"/>
        </w:tabs>
        <w:ind w:left="4320" w:hanging="360"/>
      </w:pPr>
      <w:rPr>
        <w:rFonts w:ascii="Wingdings" w:hAnsi="Wingdings" w:hint="default"/>
      </w:rPr>
    </w:lvl>
    <w:lvl w:ilvl="6" w:tplc="EECA5F1A" w:tentative="1">
      <w:start w:val="1"/>
      <w:numFmt w:val="bullet"/>
      <w:lvlText w:val=""/>
      <w:lvlJc w:val="left"/>
      <w:pPr>
        <w:tabs>
          <w:tab w:val="num" w:pos="5040"/>
        </w:tabs>
        <w:ind w:left="5040" w:hanging="360"/>
      </w:pPr>
      <w:rPr>
        <w:rFonts w:ascii="Wingdings" w:hAnsi="Wingdings" w:hint="default"/>
      </w:rPr>
    </w:lvl>
    <w:lvl w:ilvl="7" w:tplc="DC0C77BA" w:tentative="1">
      <w:start w:val="1"/>
      <w:numFmt w:val="bullet"/>
      <w:lvlText w:val=""/>
      <w:lvlJc w:val="left"/>
      <w:pPr>
        <w:tabs>
          <w:tab w:val="num" w:pos="5760"/>
        </w:tabs>
        <w:ind w:left="5760" w:hanging="360"/>
      </w:pPr>
      <w:rPr>
        <w:rFonts w:ascii="Wingdings" w:hAnsi="Wingdings" w:hint="default"/>
      </w:rPr>
    </w:lvl>
    <w:lvl w:ilvl="8" w:tplc="9C9A593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7441F6"/>
    <w:multiLevelType w:val="hybridMultilevel"/>
    <w:tmpl w:val="53CADF4E"/>
    <w:lvl w:ilvl="0" w:tplc="327C22E0">
      <w:start w:val="1"/>
      <w:numFmt w:val="bullet"/>
      <w:lvlText w:val="-"/>
      <w:lvlJc w:val="left"/>
      <w:pPr>
        <w:tabs>
          <w:tab w:val="num" w:pos="720"/>
        </w:tabs>
        <w:ind w:left="720" w:hanging="360"/>
      </w:pPr>
      <w:rPr>
        <w:rFonts w:ascii="Times New Roman" w:hAnsi="Times New Roman" w:hint="default"/>
      </w:rPr>
    </w:lvl>
    <w:lvl w:ilvl="1" w:tplc="539C1C7A" w:tentative="1">
      <w:start w:val="1"/>
      <w:numFmt w:val="bullet"/>
      <w:lvlText w:val="-"/>
      <w:lvlJc w:val="left"/>
      <w:pPr>
        <w:tabs>
          <w:tab w:val="num" w:pos="1440"/>
        </w:tabs>
        <w:ind w:left="1440" w:hanging="360"/>
      </w:pPr>
      <w:rPr>
        <w:rFonts w:ascii="Times New Roman" w:hAnsi="Times New Roman" w:hint="default"/>
      </w:rPr>
    </w:lvl>
    <w:lvl w:ilvl="2" w:tplc="C8C249F6" w:tentative="1">
      <w:start w:val="1"/>
      <w:numFmt w:val="bullet"/>
      <w:lvlText w:val="-"/>
      <w:lvlJc w:val="left"/>
      <w:pPr>
        <w:tabs>
          <w:tab w:val="num" w:pos="2160"/>
        </w:tabs>
        <w:ind w:left="2160" w:hanging="360"/>
      </w:pPr>
      <w:rPr>
        <w:rFonts w:ascii="Times New Roman" w:hAnsi="Times New Roman" w:hint="default"/>
      </w:rPr>
    </w:lvl>
    <w:lvl w:ilvl="3" w:tplc="E05E1658" w:tentative="1">
      <w:start w:val="1"/>
      <w:numFmt w:val="bullet"/>
      <w:lvlText w:val="-"/>
      <w:lvlJc w:val="left"/>
      <w:pPr>
        <w:tabs>
          <w:tab w:val="num" w:pos="2880"/>
        </w:tabs>
        <w:ind w:left="2880" w:hanging="360"/>
      </w:pPr>
      <w:rPr>
        <w:rFonts w:ascii="Times New Roman" w:hAnsi="Times New Roman" w:hint="default"/>
      </w:rPr>
    </w:lvl>
    <w:lvl w:ilvl="4" w:tplc="B20866DA" w:tentative="1">
      <w:start w:val="1"/>
      <w:numFmt w:val="bullet"/>
      <w:lvlText w:val="-"/>
      <w:lvlJc w:val="left"/>
      <w:pPr>
        <w:tabs>
          <w:tab w:val="num" w:pos="3600"/>
        </w:tabs>
        <w:ind w:left="3600" w:hanging="360"/>
      </w:pPr>
      <w:rPr>
        <w:rFonts w:ascii="Times New Roman" w:hAnsi="Times New Roman" w:hint="default"/>
      </w:rPr>
    </w:lvl>
    <w:lvl w:ilvl="5" w:tplc="2A5423F4" w:tentative="1">
      <w:start w:val="1"/>
      <w:numFmt w:val="bullet"/>
      <w:lvlText w:val="-"/>
      <w:lvlJc w:val="left"/>
      <w:pPr>
        <w:tabs>
          <w:tab w:val="num" w:pos="4320"/>
        </w:tabs>
        <w:ind w:left="4320" w:hanging="360"/>
      </w:pPr>
      <w:rPr>
        <w:rFonts w:ascii="Times New Roman" w:hAnsi="Times New Roman" w:hint="default"/>
      </w:rPr>
    </w:lvl>
    <w:lvl w:ilvl="6" w:tplc="CB6454FE" w:tentative="1">
      <w:start w:val="1"/>
      <w:numFmt w:val="bullet"/>
      <w:lvlText w:val="-"/>
      <w:lvlJc w:val="left"/>
      <w:pPr>
        <w:tabs>
          <w:tab w:val="num" w:pos="5040"/>
        </w:tabs>
        <w:ind w:left="5040" w:hanging="360"/>
      </w:pPr>
      <w:rPr>
        <w:rFonts w:ascii="Times New Roman" w:hAnsi="Times New Roman" w:hint="default"/>
      </w:rPr>
    </w:lvl>
    <w:lvl w:ilvl="7" w:tplc="13B0B6E6" w:tentative="1">
      <w:start w:val="1"/>
      <w:numFmt w:val="bullet"/>
      <w:lvlText w:val="-"/>
      <w:lvlJc w:val="left"/>
      <w:pPr>
        <w:tabs>
          <w:tab w:val="num" w:pos="5760"/>
        </w:tabs>
        <w:ind w:left="5760" w:hanging="360"/>
      </w:pPr>
      <w:rPr>
        <w:rFonts w:ascii="Times New Roman" w:hAnsi="Times New Roman" w:hint="default"/>
      </w:rPr>
    </w:lvl>
    <w:lvl w:ilvl="8" w:tplc="4430594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3C547E3"/>
    <w:multiLevelType w:val="multilevel"/>
    <w:tmpl w:val="0BDC61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8125B13"/>
    <w:multiLevelType w:val="hybridMultilevel"/>
    <w:tmpl w:val="E0944744"/>
    <w:lvl w:ilvl="0" w:tplc="724643D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45271F2F"/>
    <w:multiLevelType w:val="hybridMultilevel"/>
    <w:tmpl w:val="03648006"/>
    <w:lvl w:ilvl="0" w:tplc="FC1A2A1E">
      <w:start w:val="1"/>
      <w:numFmt w:val="bullet"/>
      <w:lvlText w:val="-"/>
      <w:lvlJc w:val="left"/>
      <w:pPr>
        <w:tabs>
          <w:tab w:val="num" w:pos="720"/>
        </w:tabs>
        <w:ind w:left="720" w:hanging="360"/>
      </w:pPr>
      <w:rPr>
        <w:rFonts w:ascii="Times New Roman" w:hAnsi="Times New Roman" w:hint="default"/>
      </w:rPr>
    </w:lvl>
    <w:lvl w:ilvl="1" w:tplc="21CC0F44" w:tentative="1">
      <w:start w:val="1"/>
      <w:numFmt w:val="bullet"/>
      <w:lvlText w:val="-"/>
      <w:lvlJc w:val="left"/>
      <w:pPr>
        <w:tabs>
          <w:tab w:val="num" w:pos="1440"/>
        </w:tabs>
        <w:ind w:left="1440" w:hanging="360"/>
      </w:pPr>
      <w:rPr>
        <w:rFonts w:ascii="Times New Roman" w:hAnsi="Times New Roman" w:hint="default"/>
      </w:rPr>
    </w:lvl>
    <w:lvl w:ilvl="2" w:tplc="224405B6">
      <w:start w:val="1"/>
      <w:numFmt w:val="bullet"/>
      <w:lvlText w:val="-"/>
      <w:lvlJc w:val="left"/>
      <w:pPr>
        <w:tabs>
          <w:tab w:val="num" w:pos="2160"/>
        </w:tabs>
        <w:ind w:left="2160" w:hanging="360"/>
      </w:pPr>
      <w:rPr>
        <w:rFonts w:ascii="Times New Roman" w:hAnsi="Times New Roman" w:hint="default"/>
      </w:rPr>
    </w:lvl>
    <w:lvl w:ilvl="3" w:tplc="5D0899D4" w:tentative="1">
      <w:start w:val="1"/>
      <w:numFmt w:val="bullet"/>
      <w:lvlText w:val="-"/>
      <w:lvlJc w:val="left"/>
      <w:pPr>
        <w:tabs>
          <w:tab w:val="num" w:pos="2880"/>
        </w:tabs>
        <w:ind w:left="2880" w:hanging="360"/>
      </w:pPr>
      <w:rPr>
        <w:rFonts w:ascii="Times New Roman" w:hAnsi="Times New Roman" w:hint="default"/>
      </w:rPr>
    </w:lvl>
    <w:lvl w:ilvl="4" w:tplc="F8A8FF66" w:tentative="1">
      <w:start w:val="1"/>
      <w:numFmt w:val="bullet"/>
      <w:lvlText w:val="-"/>
      <w:lvlJc w:val="left"/>
      <w:pPr>
        <w:tabs>
          <w:tab w:val="num" w:pos="3600"/>
        </w:tabs>
        <w:ind w:left="3600" w:hanging="360"/>
      </w:pPr>
      <w:rPr>
        <w:rFonts w:ascii="Times New Roman" w:hAnsi="Times New Roman" w:hint="default"/>
      </w:rPr>
    </w:lvl>
    <w:lvl w:ilvl="5" w:tplc="B936D834" w:tentative="1">
      <w:start w:val="1"/>
      <w:numFmt w:val="bullet"/>
      <w:lvlText w:val="-"/>
      <w:lvlJc w:val="left"/>
      <w:pPr>
        <w:tabs>
          <w:tab w:val="num" w:pos="4320"/>
        </w:tabs>
        <w:ind w:left="4320" w:hanging="360"/>
      </w:pPr>
      <w:rPr>
        <w:rFonts w:ascii="Times New Roman" w:hAnsi="Times New Roman" w:hint="default"/>
      </w:rPr>
    </w:lvl>
    <w:lvl w:ilvl="6" w:tplc="CB2007A6" w:tentative="1">
      <w:start w:val="1"/>
      <w:numFmt w:val="bullet"/>
      <w:lvlText w:val="-"/>
      <w:lvlJc w:val="left"/>
      <w:pPr>
        <w:tabs>
          <w:tab w:val="num" w:pos="5040"/>
        </w:tabs>
        <w:ind w:left="5040" w:hanging="360"/>
      </w:pPr>
      <w:rPr>
        <w:rFonts w:ascii="Times New Roman" w:hAnsi="Times New Roman" w:hint="default"/>
      </w:rPr>
    </w:lvl>
    <w:lvl w:ilvl="7" w:tplc="B4E8B1E6" w:tentative="1">
      <w:start w:val="1"/>
      <w:numFmt w:val="bullet"/>
      <w:lvlText w:val="-"/>
      <w:lvlJc w:val="left"/>
      <w:pPr>
        <w:tabs>
          <w:tab w:val="num" w:pos="5760"/>
        </w:tabs>
        <w:ind w:left="5760" w:hanging="360"/>
      </w:pPr>
      <w:rPr>
        <w:rFonts w:ascii="Times New Roman" w:hAnsi="Times New Roman" w:hint="default"/>
      </w:rPr>
    </w:lvl>
    <w:lvl w:ilvl="8" w:tplc="36189D9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1086E94"/>
    <w:multiLevelType w:val="hybridMultilevel"/>
    <w:tmpl w:val="656A1D5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51C10FA7"/>
    <w:multiLevelType w:val="hybridMultilevel"/>
    <w:tmpl w:val="56E87C58"/>
    <w:lvl w:ilvl="0" w:tplc="C1F2F77E">
      <w:start w:val="1"/>
      <w:numFmt w:val="bullet"/>
      <w:lvlText w:val=""/>
      <w:lvlJc w:val="left"/>
      <w:pPr>
        <w:tabs>
          <w:tab w:val="num" w:pos="720"/>
        </w:tabs>
        <w:ind w:left="720" w:hanging="360"/>
      </w:pPr>
      <w:rPr>
        <w:rFonts w:ascii="Wingdings" w:hAnsi="Wingdings" w:hint="default"/>
      </w:rPr>
    </w:lvl>
    <w:lvl w:ilvl="1" w:tplc="620E1EF2" w:tentative="1">
      <w:start w:val="1"/>
      <w:numFmt w:val="bullet"/>
      <w:lvlText w:val=""/>
      <w:lvlJc w:val="left"/>
      <w:pPr>
        <w:tabs>
          <w:tab w:val="num" w:pos="1440"/>
        </w:tabs>
        <w:ind w:left="1440" w:hanging="360"/>
      </w:pPr>
      <w:rPr>
        <w:rFonts w:ascii="Wingdings" w:hAnsi="Wingdings" w:hint="default"/>
      </w:rPr>
    </w:lvl>
    <w:lvl w:ilvl="2" w:tplc="A046143E" w:tentative="1">
      <w:start w:val="1"/>
      <w:numFmt w:val="bullet"/>
      <w:lvlText w:val=""/>
      <w:lvlJc w:val="left"/>
      <w:pPr>
        <w:tabs>
          <w:tab w:val="num" w:pos="2160"/>
        </w:tabs>
        <w:ind w:left="2160" w:hanging="360"/>
      </w:pPr>
      <w:rPr>
        <w:rFonts w:ascii="Wingdings" w:hAnsi="Wingdings" w:hint="default"/>
      </w:rPr>
    </w:lvl>
    <w:lvl w:ilvl="3" w:tplc="FBE67244" w:tentative="1">
      <w:start w:val="1"/>
      <w:numFmt w:val="bullet"/>
      <w:lvlText w:val=""/>
      <w:lvlJc w:val="left"/>
      <w:pPr>
        <w:tabs>
          <w:tab w:val="num" w:pos="2880"/>
        </w:tabs>
        <w:ind w:left="2880" w:hanging="360"/>
      </w:pPr>
      <w:rPr>
        <w:rFonts w:ascii="Wingdings" w:hAnsi="Wingdings" w:hint="default"/>
      </w:rPr>
    </w:lvl>
    <w:lvl w:ilvl="4" w:tplc="F3BC30F4" w:tentative="1">
      <w:start w:val="1"/>
      <w:numFmt w:val="bullet"/>
      <w:lvlText w:val=""/>
      <w:lvlJc w:val="left"/>
      <w:pPr>
        <w:tabs>
          <w:tab w:val="num" w:pos="3600"/>
        </w:tabs>
        <w:ind w:left="3600" w:hanging="360"/>
      </w:pPr>
      <w:rPr>
        <w:rFonts w:ascii="Wingdings" w:hAnsi="Wingdings" w:hint="default"/>
      </w:rPr>
    </w:lvl>
    <w:lvl w:ilvl="5" w:tplc="7AE40FC2" w:tentative="1">
      <w:start w:val="1"/>
      <w:numFmt w:val="bullet"/>
      <w:lvlText w:val=""/>
      <w:lvlJc w:val="left"/>
      <w:pPr>
        <w:tabs>
          <w:tab w:val="num" w:pos="4320"/>
        </w:tabs>
        <w:ind w:left="4320" w:hanging="360"/>
      </w:pPr>
      <w:rPr>
        <w:rFonts w:ascii="Wingdings" w:hAnsi="Wingdings" w:hint="default"/>
      </w:rPr>
    </w:lvl>
    <w:lvl w:ilvl="6" w:tplc="EEC6E2DC" w:tentative="1">
      <w:start w:val="1"/>
      <w:numFmt w:val="bullet"/>
      <w:lvlText w:val=""/>
      <w:lvlJc w:val="left"/>
      <w:pPr>
        <w:tabs>
          <w:tab w:val="num" w:pos="5040"/>
        </w:tabs>
        <w:ind w:left="5040" w:hanging="360"/>
      </w:pPr>
      <w:rPr>
        <w:rFonts w:ascii="Wingdings" w:hAnsi="Wingdings" w:hint="default"/>
      </w:rPr>
    </w:lvl>
    <w:lvl w:ilvl="7" w:tplc="D188CDFA" w:tentative="1">
      <w:start w:val="1"/>
      <w:numFmt w:val="bullet"/>
      <w:lvlText w:val=""/>
      <w:lvlJc w:val="left"/>
      <w:pPr>
        <w:tabs>
          <w:tab w:val="num" w:pos="5760"/>
        </w:tabs>
        <w:ind w:left="5760" w:hanging="360"/>
      </w:pPr>
      <w:rPr>
        <w:rFonts w:ascii="Wingdings" w:hAnsi="Wingdings" w:hint="default"/>
      </w:rPr>
    </w:lvl>
    <w:lvl w:ilvl="8" w:tplc="83445DE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B5808"/>
    <w:multiLevelType w:val="hybridMultilevel"/>
    <w:tmpl w:val="F3442594"/>
    <w:lvl w:ilvl="0" w:tplc="0302B3FC">
      <w:start w:val="1"/>
      <w:numFmt w:val="bullet"/>
      <w:lvlText w:val=""/>
      <w:lvlJc w:val="left"/>
      <w:pPr>
        <w:tabs>
          <w:tab w:val="num" w:pos="720"/>
        </w:tabs>
        <w:ind w:left="720" w:hanging="360"/>
      </w:pPr>
      <w:rPr>
        <w:rFonts w:ascii="Wingdings" w:hAnsi="Wingdings" w:hint="default"/>
      </w:rPr>
    </w:lvl>
    <w:lvl w:ilvl="1" w:tplc="3DB82A14" w:tentative="1">
      <w:start w:val="1"/>
      <w:numFmt w:val="bullet"/>
      <w:lvlText w:val=""/>
      <w:lvlJc w:val="left"/>
      <w:pPr>
        <w:tabs>
          <w:tab w:val="num" w:pos="1440"/>
        </w:tabs>
        <w:ind w:left="1440" w:hanging="360"/>
      </w:pPr>
      <w:rPr>
        <w:rFonts w:ascii="Wingdings" w:hAnsi="Wingdings" w:hint="default"/>
      </w:rPr>
    </w:lvl>
    <w:lvl w:ilvl="2" w:tplc="A0C0747E">
      <w:start w:val="1"/>
      <w:numFmt w:val="bullet"/>
      <w:lvlText w:val=""/>
      <w:lvlJc w:val="left"/>
      <w:pPr>
        <w:tabs>
          <w:tab w:val="num" w:pos="2160"/>
        </w:tabs>
        <w:ind w:left="2160" w:hanging="360"/>
      </w:pPr>
      <w:rPr>
        <w:rFonts w:ascii="Wingdings" w:hAnsi="Wingdings" w:hint="default"/>
      </w:rPr>
    </w:lvl>
    <w:lvl w:ilvl="3" w:tplc="A702A57E" w:tentative="1">
      <w:start w:val="1"/>
      <w:numFmt w:val="bullet"/>
      <w:lvlText w:val=""/>
      <w:lvlJc w:val="left"/>
      <w:pPr>
        <w:tabs>
          <w:tab w:val="num" w:pos="2880"/>
        </w:tabs>
        <w:ind w:left="2880" w:hanging="360"/>
      </w:pPr>
      <w:rPr>
        <w:rFonts w:ascii="Wingdings" w:hAnsi="Wingdings" w:hint="default"/>
      </w:rPr>
    </w:lvl>
    <w:lvl w:ilvl="4" w:tplc="79CE69FE" w:tentative="1">
      <w:start w:val="1"/>
      <w:numFmt w:val="bullet"/>
      <w:lvlText w:val=""/>
      <w:lvlJc w:val="left"/>
      <w:pPr>
        <w:tabs>
          <w:tab w:val="num" w:pos="3600"/>
        </w:tabs>
        <w:ind w:left="3600" w:hanging="360"/>
      </w:pPr>
      <w:rPr>
        <w:rFonts w:ascii="Wingdings" w:hAnsi="Wingdings" w:hint="default"/>
      </w:rPr>
    </w:lvl>
    <w:lvl w:ilvl="5" w:tplc="BD0C2B0C" w:tentative="1">
      <w:start w:val="1"/>
      <w:numFmt w:val="bullet"/>
      <w:lvlText w:val=""/>
      <w:lvlJc w:val="left"/>
      <w:pPr>
        <w:tabs>
          <w:tab w:val="num" w:pos="4320"/>
        </w:tabs>
        <w:ind w:left="4320" w:hanging="360"/>
      </w:pPr>
      <w:rPr>
        <w:rFonts w:ascii="Wingdings" w:hAnsi="Wingdings" w:hint="default"/>
      </w:rPr>
    </w:lvl>
    <w:lvl w:ilvl="6" w:tplc="DFCC5000" w:tentative="1">
      <w:start w:val="1"/>
      <w:numFmt w:val="bullet"/>
      <w:lvlText w:val=""/>
      <w:lvlJc w:val="left"/>
      <w:pPr>
        <w:tabs>
          <w:tab w:val="num" w:pos="5040"/>
        </w:tabs>
        <w:ind w:left="5040" w:hanging="360"/>
      </w:pPr>
      <w:rPr>
        <w:rFonts w:ascii="Wingdings" w:hAnsi="Wingdings" w:hint="default"/>
      </w:rPr>
    </w:lvl>
    <w:lvl w:ilvl="7" w:tplc="A89AAAA4" w:tentative="1">
      <w:start w:val="1"/>
      <w:numFmt w:val="bullet"/>
      <w:lvlText w:val=""/>
      <w:lvlJc w:val="left"/>
      <w:pPr>
        <w:tabs>
          <w:tab w:val="num" w:pos="5760"/>
        </w:tabs>
        <w:ind w:left="5760" w:hanging="360"/>
      </w:pPr>
      <w:rPr>
        <w:rFonts w:ascii="Wingdings" w:hAnsi="Wingdings" w:hint="default"/>
      </w:rPr>
    </w:lvl>
    <w:lvl w:ilvl="8" w:tplc="ED2C479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F260E9"/>
    <w:multiLevelType w:val="hybridMultilevel"/>
    <w:tmpl w:val="AEEC2EA2"/>
    <w:lvl w:ilvl="0" w:tplc="588C71A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A592555"/>
    <w:multiLevelType w:val="hybridMultilevel"/>
    <w:tmpl w:val="1E3A2004"/>
    <w:lvl w:ilvl="0" w:tplc="5B20729A">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6" w15:restartNumberingAfterBreak="0">
    <w:nsid w:val="6A6C03FB"/>
    <w:multiLevelType w:val="multilevel"/>
    <w:tmpl w:val="34E0D6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4F77688"/>
    <w:multiLevelType w:val="multilevel"/>
    <w:tmpl w:val="1E70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47157B"/>
    <w:multiLevelType w:val="hybridMultilevel"/>
    <w:tmpl w:val="9DEE2798"/>
    <w:lvl w:ilvl="0" w:tplc="572EF1B6">
      <w:start w:val="1"/>
      <w:numFmt w:val="bullet"/>
      <w:lvlText w:val=""/>
      <w:lvlJc w:val="left"/>
      <w:pPr>
        <w:tabs>
          <w:tab w:val="num" w:pos="720"/>
        </w:tabs>
        <w:ind w:left="720" w:hanging="360"/>
      </w:pPr>
      <w:rPr>
        <w:rFonts w:ascii="Wingdings" w:hAnsi="Wingdings" w:hint="default"/>
      </w:rPr>
    </w:lvl>
    <w:lvl w:ilvl="1" w:tplc="7BF0386E" w:tentative="1">
      <w:start w:val="1"/>
      <w:numFmt w:val="bullet"/>
      <w:lvlText w:val=""/>
      <w:lvlJc w:val="left"/>
      <w:pPr>
        <w:tabs>
          <w:tab w:val="num" w:pos="1440"/>
        </w:tabs>
        <w:ind w:left="1440" w:hanging="360"/>
      </w:pPr>
      <w:rPr>
        <w:rFonts w:ascii="Wingdings" w:hAnsi="Wingdings" w:hint="default"/>
      </w:rPr>
    </w:lvl>
    <w:lvl w:ilvl="2" w:tplc="325AF52A" w:tentative="1">
      <w:start w:val="1"/>
      <w:numFmt w:val="bullet"/>
      <w:lvlText w:val=""/>
      <w:lvlJc w:val="left"/>
      <w:pPr>
        <w:tabs>
          <w:tab w:val="num" w:pos="2160"/>
        </w:tabs>
        <w:ind w:left="2160" w:hanging="360"/>
      </w:pPr>
      <w:rPr>
        <w:rFonts w:ascii="Wingdings" w:hAnsi="Wingdings" w:hint="default"/>
      </w:rPr>
    </w:lvl>
    <w:lvl w:ilvl="3" w:tplc="0736250A" w:tentative="1">
      <w:start w:val="1"/>
      <w:numFmt w:val="bullet"/>
      <w:lvlText w:val=""/>
      <w:lvlJc w:val="left"/>
      <w:pPr>
        <w:tabs>
          <w:tab w:val="num" w:pos="2880"/>
        </w:tabs>
        <w:ind w:left="2880" w:hanging="360"/>
      </w:pPr>
      <w:rPr>
        <w:rFonts w:ascii="Wingdings" w:hAnsi="Wingdings" w:hint="default"/>
      </w:rPr>
    </w:lvl>
    <w:lvl w:ilvl="4" w:tplc="5E042532" w:tentative="1">
      <w:start w:val="1"/>
      <w:numFmt w:val="bullet"/>
      <w:lvlText w:val=""/>
      <w:lvlJc w:val="left"/>
      <w:pPr>
        <w:tabs>
          <w:tab w:val="num" w:pos="3600"/>
        </w:tabs>
        <w:ind w:left="3600" w:hanging="360"/>
      </w:pPr>
      <w:rPr>
        <w:rFonts w:ascii="Wingdings" w:hAnsi="Wingdings" w:hint="default"/>
      </w:rPr>
    </w:lvl>
    <w:lvl w:ilvl="5" w:tplc="4D68055A" w:tentative="1">
      <w:start w:val="1"/>
      <w:numFmt w:val="bullet"/>
      <w:lvlText w:val=""/>
      <w:lvlJc w:val="left"/>
      <w:pPr>
        <w:tabs>
          <w:tab w:val="num" w:pos="4320"/>
        </w:tabs>
        <w:ind w:left="4320" w:hanging="360"/>
      </w:pPr>
      <w:rPr>
        <w:rFonts w:ascii="Wingdings" w:hAnsi="Wingdings" w:hint="default"/>
      </w:rPr>
    </w:lvl>
    <w:lvl w:ilvl="6" w:tplc="C6D0AB18" w:tentative="1">
      <w:start w:val="1"/>
      <w:numFmt w:val="bullet"/>
      <w:lvlText w:val=""/>
      <w:lvlJc w:val="left"/>
      <w:pPr>
        <w:tabs>
          <w:tab w:val="num" w:pos="5040"/>
        </w:tabs>
        <w:ind w:left="5040" w:hanging="360"/>
      </w:pPr>
      <w:rPr>
        <w:rFonts w:ascii="Wingdings" w:hAnsi="Wingdings" w:hint="default"/>
      </w:rPr>
    </w:lvl>
    <w:lvl w:ilvl="7" w:tplc="680AE79A" w:tentative="1">
      <w:start w:val="1"/>
      <w:numFmt w:val="bullet"/>
      <w:lvlText w:val=""/>
      <w:lvlJc w:val="left"/>
      <w:pPr>
        <w:tabs>
          <w:tab w:val="num" w:pos="5760"/>
        </w:tabs>
        <w:ind w:left="5760" w:hanging="360"/>
      </w:pPr>
      <w:rPr>
        <w:rFonts w:ascii="Wingdings" w:hAnsi="Wingdings" w:hint="default"/>
      </w:rPr>
    </w:lvl>
    <w:lvl w:ilvl="8" w:tplc="BC1AC674" w:tentative="1">
      <w:start w:val="1"/>
      <w:numFmt w:val="bullet"/>
      <w:lvlText w:val=""/>
      <w:lvlJc w:val="left"/>
      <w:pPr>
        <w:tabs>
          <w:tab w:val="num" w:pos="6480"/>
        </w:tabs>
        <w:ind w:left="6480" w:hanging="360"/>
      </w:pPr>
      <w:rPr>
        <w:rFonts w:ascii="Wingdings" w:hAnsi="Wingdings" w:hint="default"/>
      </w:rPr>
    </w:lvl>
  </w:abstractNum>
  <w:num w:numId="1" w16cid:durableId="1803691364">
    <w:abstractNumId w:val="12"/>
  </w:num>
  <w:num w:numId="2" w16cid:durableId="2047365970">
    <w:abstractNumId w:val="13"/>
  </w:num>
  <w:num w:numId="3" w16cid:durableId="2087649332">
    <w:abstractNumId w:val="10"/>
  </w:num>
  <w:num w:numId="4" w16cid:durableId="1574584226">
    <w:abstractNumId w:val="7"/>
  </w:num>
  <w:num w:numId="5" w16cid:durableId="559905666">
    <w:abstractNumId w:val="18"/>
  </w:num>
  <w:num w:numId="6" w16cid:durableId="353071907">
    <w:abstractNumId w:val="1"/>
  </w:num>
  <w:num w:numId="7" w16cid:durableId="1379553855">
    <w:abstractNumId w:val="17"/>
  </w:num>
  <w:num w:numId="8" w16cid:durableId="1007558808">
    <w:abstractNumId w:val="8"/>
  </w:num>
  <w:num w:numId="9" w16cid:durableId="1212812774">
    <w:abstractNumId w:val="3"/>
  </w:num>
  <w:num w:numId="10" w16cid:durableId="1217738438">
    <w:abstractNumId w:val="14"/>
  </w:num>
  <w:num w:numId="11" w16cid:durableId="1329211286">
    <w:abstractNumId w:val="16"/>
  </w:num>
  <w:num w:numId="12" w16cid:durableId="582836762">
    <w:abstractNumId w:val="2"/>
  </w:num>
  <w:num w:numId="13" w16cid:durableId="1995327569">
    <w:abstractNumId w:val="4"/>
  </w:num>
  <w:num w:numId="14" w16cid:durableId="779683355">
    <w:abstractNumId w:val="9"/>
  </w:num>
  <w:num w:numId="15" w16cid:durableId="1881357497">
    <w:abstractNumId w:val="15"/>
  </w:num>
  <w:num w:numId="16" w16cid:durableId="1976518680">
    <w:abstractNumId w:val="11"/>
  </w:num>
  <w:num w:numId="17" w16cid:durableId="563566294">
    <w:abstractNumId w:val="6"/>
  </w:num>
  <w:num w:numId="18" w16cid:durableId="1670406390">
    <w:abstractNumId w:val="0"/>
  </w:num>
  <w:num w:numId="19" w16cid:durableId="3712688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M3tzQxAdIGlqbmBko6SsGpxcWZ+XkgBaa1ALDBX/8sAAAA"/>
  </w:docVars>
  <w:rsids>
    <w:rsidRoot w:val="001A740A"/>
    <w:rsid w:val="0001237B"/>
    <w:rsid w:val="00031AF3"/>
    <w:rsid w:val="000F4B99"/>
    <w:rsid w:val="000F7E7A"/>
    <w:rsid w:val="00161822"/>
    <w:rsid w:val="00185ACC"/>
    <w:rsid w:val="001A740A"/>
    <w:rsid w:val="001D739B"/>
    <w:rsid w:val="001F3C76"/>
    <w:rsid w:val="001F5D8C"/>
    <w:rsid w:val="00202A2C"/>
    <w:rsid w:val="002258D9"/>
    <w:rsid w:val="00225E64"/>
    <w:rsid w:val="00232AAF"/>
    <w:rsid w:val="00295B19"/>
    <w:rsid w:val="00300157"/>
    <w:rsid w:val="003306F1"/>
    <w:rsid w:val="00333124"/>
    <w:rsid w:val="00385356"/>
    <w:rsid w:val="003A6561"/>
    <w:rsid w:val="003D2F7D"/>
    <w:rsid w:val="003D7EA4"/>
    <w:rsid w:val="004B5BCB"/>
    <w:rsid w:val="004B6779"/>
    <w:rsid w:val="0052008B"/>
    <w:rsid w:val="00561752"/>
    <w:rsid w:val="00566D02"/>
    <w:rsid w:val="00585E59"/>
    <w:rsid w:val="005B2AD9"/>
    <w:rsid w:val="005D1EC9"/>
    <w:rsid w:val="005D38D2"/>
    <w:rsid w:val="005D4329"/>
    <w:rsid w:val="005D7B42"/>
    <w:rsid w:val="00614F4D"/>
    <w:rsid w:val="0062505A"/>
    <w:rsid w:val="0062582A"/>
    <w:rsid w:val="00626277"/>
    <w:rsid w:val="00641C1A"/>
    <w:rsid w:val="0064262E"/>
    <w:rsid w:val="006C2792"/>
    <w:rsid w:val="006D26A6"/>
    <w:rsid w:val="006E01CA"/>
    <w:rsid w:val="00705287"/>
    <w:rsid w:val="007250C5"/>
    <w:rsid w:val="00744623"/>
    <w:rsid w:val="00787883"/>
    <w:rsid w:val="007E69F3"/>
    <w:rsid w:val="007E7BB4"/>
    <w:rsid w:val="0080090F"/>
    <w:rsid w:val="00810627"/>
    <w:rsid w:val="00813B25"/>
    <w:rsid w:val="00821C7F"/>
    <w:rsid w:val="008764AA"/>
    <w:rsid w:val="008C07D9"/>
    <w:rsid w:val="008C2336"/>
    <w:rsid w:val="008D7BED"/>
    <w:rsid w:val="008E1E7D"/>
    <w:rsid w:val="008F5977"/>
    <w:rsid w:val="009509F4"/>
    <w:rsid w:val="00952621"/>
    <w:rsid w:val="0096607F"/>
    <w:rsid w:val="00984D31"/>
    <w:rsid w:val="009907CA"/>
    <w:rsid w:val="009A770A"/>
    <w:rsid w:val="009B7222"/>
    <w:rsid w:val="009E24A3"/>
    <w:rsid w:val="009F4043"/>
    <w:rsid w:val="00A02046"/>
    <w:rsid w:val="00A12238"/>
    <w:rsid w:val="00A143AB"/>
    <w:rsid w:val="00A62A23"/>
    <w:rsid w:val="00AC3B90"/>
    <w:rsid w:val="00B342CE"/>
    <w:rsid w:val="00B64431"/>
    <w:rsid w:val="00B81EDD"/>
    <w:rsid w:val="00B8327F"/>
    <w:rsid w:val="00BD27AF"/>
    <w:rsid w:val="00BE4BE5"/>
    <w:rsid w:val="00C050BD"/>
    <w:rsid w:val="00C53B60"/>
    <w:rsid w:val="00C62556"/>
    <w:rsid w:val="00C653E6"/>
    <w:rsid w:val="00CC47B4"/>
    <w:rsid w:val="00CD2D6A"/>
    <w:rsid w:val="00D26F80"/>
    <w:rsid w:val="00D72C20"/>
    <w:rsid w:val="00DB5362"/>
    <w:rsid w:val="00DD34A3"/>
    <w:rsid w:val="00DD7649"/>
    <w:rsid w:val="00DE74F3"/>
    <w:rsid w:val="00E449B0"/>
    <w:rsid w:val="00EA6B52"/>
    <w:rsid w:val="00EC5C4A"/>
    <w:rsid w:val="00ED2253"/>
    <w:rsid w:val="00F140D6"/>
    <w:rsid w:val="00F761E0"/>
    <w:rsid w:val="00F87C1E"/>
    <w:rsid w:val="00FC0D00"/>
    <w:rsid w:val="00FC2A4E"/>
    <w:rsid w:val="00FC71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11F0B"/>
  <w15:chartTrackingRefBased/>
  <w15:docId w15:val="{6EF4C9C7-26A0-42AD-B5C7-13CF276B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A2C"/>
  </w:style>
  <w:style w:type="paragraph" w:styleId="Heading1">
    <w:name w:val="heading 1"/>
    <w:basedOn w:val="Normal"/>
    <w:next w:val="Normal"/>
    <w:link w:val="Heading1Char"/>
    <w:uiPriority w:val="9"/>
    <w:qFormat/>
    <w:rsid w:val="001A7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4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4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4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40A"/>
    <w:rPr>
      <w:rFonts w:asciiTheme="majorHAnsi" w:eastAsiaTheme="majorEastAsia" w:hAnsiTheme="majorHAnsi" w:cstheme="majorBidi"/>
      <w:color w:val="0F4761" w:themeColor="accent1" w:themeShade="BF"/>
      <w:sz w:val="40"/>
      <w:szCs w:val="40"/>
      <w:lang w:val="sl-SI"/>
    </w:rPr>
  </w:style>
  <w:style w:type="character" w:customStyle="1" w:styleId="Heading2Char">
    <w:name w:val="Heading 2 Char"/>
    <w:basedOn w:val="DefaultParagraphFont"/>
    <w:link w:val="Heading2"/>
    <w:uiPriority w:val="9"/>
    <w:semiHidden/>
    <w:rsid w:val="001A740A"/>
    <w:rPr>
      <w:rFonts w:asciiTheme="majorHAnsi" w:eastAsiaTheme="majorEastAsia" w:hAnsiTheme="majorHAnsi" w:cstheme="majorBidi"/>
      <w:color w:val="0F4761" w:themeColor="accent1" w:themeShade="BF"/>
      <w:sz w:val="32"/>
      <w:szCs w:val="32"/>
      <w:lang w:val="sl-SI"/>
    </w:rPr>
  </w:style>
  <w:style w:type="character" w:customStyle="1" w:styleId="Heading3Char">
    <w:name w:val="Heading 3 Char"/>
    <w:basedOn w:val="DefaultParagraphFont"/>
    <w:link w:val="Heading3"/>
    <w:uiPriority w:val="9"/>
    <w:semiHidden/>
    <w:rsid w:val="001A740A"/>
    <w:rPr>
      <w:rFonts w:eastAsiaTheme="majorEastAsia" w:cstheme="majorBidi"/>
      <w:color w:val="0F4761" w:themeColor="accent1" w:themeShade="BF"/>
      <w:sz w:val="28"/>
      <w:szCs w:val="28"/>
      <w:lang w:val="sl-SI"/>
    </w:rPr>
  </w:style>
  <w:style w:type="character" w:customStyle="1" w:styleId="Heading4Char">
    <w:name w:val="Heading 4 Char"/>
    <w:basedOn w:val="DefaultParagraphFont"/>
    <w:link w:val="Heading4"/>
    <w:uiPriority w:val="9"/>
    <w:semiHidden/>
    <w:rsid w:val="001A740A"/>
    <w:rPr>
      <w:rFonts w:eastAsiaTheme="majorEastAsia" w:cstheme="majorBidi"/>
      <w:i/>
      <w:iCs/>
      <w:color w:val="0F4761" w:themeColor="accent1" w:themeShade="BF"/>
      <w:lang w:val="sl-SI"/>
    </w:rPr>
  </w:style>
  <w:style w:type="character" w:customStyle="1" w:styleId="Heading5Char">
    <w:name w:val="Heading 5 Char"/>
    <w:basedOn w:val="DefaultParagraphFont"/>
    <w:link w:val="Heading5"/>
    <w:uiPriority w:val="9"/>
    <w:semiHidden/>
    <w:rsid w:val="001A740A"/>
    <w:rPr>
      <w:rFonts w:eastAsiaTheme="majorEastAsia" w:cstheme="majorBidi"/>
      <w:color w:val="0F4761" w:themeColor="accent1" w:themeShade="BF"/>
      <w:lang w:val="sl-SI"/>
    </w:rPr>
  </w:style>
  <w:style w:type="character" w:customStyle="1" w:styleId="Heading6Char">
    <w:name w:val="Heading 6 Char"/>
    <w:basedOn w:val="DefaultParagraphFont"/>
    <w:link w:val="Heading6"/>
    <w:uiPriority w:val="9"/>
    <w:semiHidden/>
    <w:rsid w:val="001A740A"/>
    <w:rPr>
      <w:rFonts w:eastAsiaTheme="majorEastAsia" w:cstheme="majorBidi"/>
      <w:i/>
      <w:iCs/>
      <w:color w:val="595959" w:themeColor="text1" w:themeTint="A6"/>
      <w:lang w:val="sl-SI"/>
    </w:rPr>
  </w:style>
  <w:style w:type="character" w:customStyle="1" w:styleId="Heading7Char">
    <w:name w:val="Heading 7 Char"/>
    <w:basedOn w:val="DefaultParagraphFont"/>
    <w:link w:val="Heading7"/>
    <w:uiPriority w:val="9"/>
    <w:semiHidden/>
    <w:rsid w:val="001A740A"/>
    <w:rPr>
      <w:rFonts w:eastAsiaTheme="majorEastAsia" w:cstheme="majorBidi"/>
      <w:color w:val="595959" w:themeColor="text1" w:themeTint="A6"/>
      <w:lang w:val="sl-SI"/>
    </w:rPr>
  </w:style>
  <w:style w:type="character" w:customStyle="1" w:styleId="Heading8Char">
    <w:name w:val="Heading 8 Char"/>
    <w:basedOn w:val="DefaultParagraphFont"/>
    <w:link w:val="Heading8"/>
    <w:uiPriority w:val="9"/>
    <w:semiHidden/>
    <w:rsid w:val="001A740A"/>
    <w:rPr>
      <w:rFonts w:eastAsiaTheme="majorEastAsia" w:cstheme="majorBidi"/>
      <w:i/>
      <w:iCs/>
      <w:color w:val="272727" w:themeColor="text1" w:themeTint="D8"/>
      <w:lang w:val="sl-SI"/>
    </w:rPr>
  </w:style>
  <w:style w:type="character" w:customStyle="1" w:styleId="Heading9Char">
    <w:name w:val="Heading 9 Char"/>
    <w:basedOn w:val="DefaultParagraphFont"/>
    <w:link w:val="Heading9"/>
    <w:uiPriority w:val="9"/>
    <w:semiHidden/>
    <w:rsid w:val="001A740A"/>
    <w:rPr>
      <w:rFonts w:eastAsiaTheme="majorEastAsia" w:cstheme="majorBidi"/>
      <w:color w:val="272727" w:themeColor="text1" w:themeTint="D8"/>
      <w:lang w:val="sl-SI"/>
    </w:rPr>
  </w:style>
  <w:style w:type="paragraph" w:styleId="Title">
    <w:name w:val="Title"/>
    <w:basedOn w:val="Normal"/>
    <w:next w:val="Normal"/>
    <w:link w:val="TitleChar"/>
    <w:uiPriority w:val="10"/>
    <w:qFormat/>
    <w:rsid w:val="001A7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40A"/>
    <w:rPr>
      <w:rFonts w:asciiTheme="majorHAnsi" w:eastAsiaTheme="majorEastAsia" w:hAnsiTheme="majorHAnsi" w:cstheme="majorBidi"/>
      <w:spacing w:val="-10"/>
      <w:kern w:val="28"/>
      <w:sz w:val="56"/>
      <w:szCs w:val="56"/>
      <w:lang w:val="sl-SI"/>
    </w:rPr>
  </w:style>
  <w:style w:type="paragraph" w:styleId="Subtitle">
    <w:name w:val="Subtitle"/>
    <w:basedOn w:val="Normal"/>
    <w:next w:val="Normal"/>
    <w:link w:val="SubtitleChar"/>
    <w:uiPriority w:val="11"/>
    <w:qFormat/>
    <w:rsid w:val="001A7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40A"/>
    <w:rPr>
      <w:rFonts w:eastAsiaTheme="majorEastAsia" w:cstheme="majorBidi"/>
      <w:color w:val="595959" w:themeColor="text1" w:themeTint="A6"/>
      <w:spacing w:val="15"/>
      <w:sz w:val="28"/>
      <w:szCs w:val="28"/>
      <w:lang w:val="sl-SI"/>
    </w:rPr>
  </w:style>
  <w:style w:type="paragraph" w:styleId="Quote">
    <w:name w:val="Quote"/>
    <w:basedOn w:val="Normal"/>
    <w:next w:val="Normal"/>
    <w:link w:val="QuoteChar"/>
    <w:uiPriority w:val="29"/>
    <w:qFormat/>
    <w:rsid w:val="001A740A"/>
    <w:pPr>
      <w:spacing w:before="160"/>
      <w:jc w:val="center"/>
    </w:pPr>
    <w:rPr>
      <w:i/>
      <w:iCs/>
      <w:color w:val="404040" w:themeColor="text1" w:themeTint="BF"/>
    </w:rPr>
  </w:style>
  <w:style w:type="character" w:customStyle="1" w:styleId="QuoteChar">
    <w:name w:val="Quote Char"/>
    <w:basedOn w:val="DefaultParagraphFont"/>
    <w:link w:val="Quote"/>
    <w:uiPriority w:val="29"/>
    <w:rsid w:val="001A740A"/>
    <w:rPr>
      <w:i/>
      <w:iCs/>
      <w:color w:val="404040" w:themeColor="text1" w:themeTint="BF"/>
      <w:lang w:val="sl-SI"/>
    </w:rPr>
  </w:style>
  <w:style w:type="paragraph" w:styleId="ListParagraph">
    <w:name w:val="List Paragraph"/>
    <w:basedOn w:val="Normal"/>
    <w:uiPriority w:val="34"/>
    <w:qFormat/>
    <w:rsid w:val="001A740A"/>
    <w:pPr>
      <w:ind w:left="720"/>
      <w:contextualSpacing/>
    </w:pPr>
  </w:style>
  <w:style w:type="character" w:styleId="IntenseEmphasis">
    <w:name w:val="Intense Emphasis"/>
    <w:basedOn w:val="DefaultParagraphFont"/>
    <w:uiPriority w:val="21"/>
    <w:qFormat/>
    <w:rsid w:val="001A740A"/>
    <w:rPr>
      <w:i/>
      <w:iCs/>
      <w:color w:val="0F4761" w:themeColor="accent1" w:themeShade="BF"/>
    </w:rPr>
  </w:style>
  <w:style w:type="paragraph" w:styleId="IntenseQuote">
    <w:name w:val="Intense Quote"/>
    <w:basedOn w:val="Normal"/>
    <w:next w:val="Normal"/>
    <w:link w:val="IntenseQuoteChar"/>
    <w:uiPriority w:val="30"/>
    <w:qFormat/>
    <w:rsid w:val="001A7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40A"/>
    <w:rPr>
      <w:i/>
      <w:iCs/>
      <w:color w:val="0F4761" w:themeColor="accent1" w:themeShade="BF"/>
      <w:lang w:val="sl-SI"/>
    </w:rPr>
  </w:style>
  <w:style w:type="character" w:styleId="IntenseReference">
    <w:name w:val="Intense Reference"/>
    <w:basedOn w:val="DefaultParagraphFont"/>
    <w:uiPriority w:val="32"/>
    <w:qFormat/>
    <w:rsid w:val="001A740A"/>
    <w:rPr>
      <w:b/>
      <w:bCs/>
      <w:smallCaps/>
      <w:color w:val="0F4761" w:themeColor="accent1" w:themeShade="BF"/>
      <w:spacing w:val="5"/>
    </w:rPr>
  </w:style>
  <w:style w:type="paragraph" w:styleId="NormalWeb">
    <w:name w:val="Normal (Web)"/>
    <w:basedOn w:val="Normal"/>
    <w:uiPriority w:val="99"/>
    <w:unhideWhenUsed/>
    <w:rsid w:val="00DD764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D7649"/>
    <w:rPr>
      <w:color w:val="0000FF"/>
      <w:u w:val="single"/>
    </w:rPr>
  </w:style>
  <w:style w:type="character" w:styleId="Strong">
    <w:name w:val="Strong"/>
    <w:basedOn w:val="DefaultParagraphFont"/>
    <w:uiPriority w:val="22"/>
    <w:qFormat/>
    <w:rsid w:val="00D26F80"/>
    <w:rPr>
      <w:b/>
      <w:bCs/>
    </w:rPr>
  </w:style>
  <w:style w:type="paragraph" w:styleId="Header">
    <w:name w:val="header"/>
    <w:basedOn w:val="Normal"/>
    <w:link w:val="HeaderChar"/>
    <w:uiPriority w:val="99"/>
    <w:unhideWhenUsed/>
    <w:rsid w:val="00FC71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1F7"/>
    <w:rPr>
      <w:lang w:val="sl-SI"/>
    </w:rPr>
  </w:style>
  <w:style w:type="paragraph" w:styleId="Footer">
    <w:name w:val="footer"/>
    <w:basedOn w:val="Normal"/>
    <w:link w:val="FooterChar"/>
    <w:uiPriority w:val="99"/>
    <w:unhideWhenUsed/>
    <w:rsid w:val="00FC71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1F7"/>
    <w:rPr>
      <w:lang w:val="sl-SI"/>
    </w:rPr>
  </w:style>
  <w:style w:type="paragraph" w:styleId="BalloonText">
    <w:name w:val="Balloon Text"/>
    <w:basedOn w:val="Normal"/>
    <w:link w:val="BalloonTextChar"/>
    <w:uiPriority w:val="99"/>
    <w:semiHidden/>
    <w:unhideWhenUsed/>
    <w:rsid w:val="007250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0C5"/>
    <w:rPr>
      <w:rFonts w:ascii="Segoe UI" w:hAnsi="Segoe UI" w:cs="Segoe UI"/>
      <w:sz w:val="18"/>
      <w:szCs w:val="18"/>
    </w:rPr>
  </w:style>
  <w:style w:type="paragraph" w:styleId="FootnoteText">
    <w:name w:val="footnote text"/>
    <w:basedOn w:val="Normal"/>
    <w:link w:val="FootnoteTextChar"/>
    <w:uiPriority w:val="99"/>
    <w:semiHidden/>
    <w:unhideWhenUsed/>
    <w:rsid w:val="008F59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5977"/>
    <w:rPr>
      <w:sz w:val="20"/>
      <w:szCs w:val="20"/>
    </w:rPr>
  </w:style>
  <w:style w:type="character" w:styleId="FootnoteReference">
    <w:name w:val="footnote reference"/>
    <w:basedOn w:val="DefaultParagraphFont"/>
    <w:uiPriority w:val="99"/>
    <w:semiHidden/>
    <w:unhideWhenUsed/>
    <w:rsid w:val="008F5977"/>
    <w:rPr>
      <w:vertAlign w:val="superscript"/>
    </w:rPr>
  </w:style>
  <w:style w:type="table" w:styleId="TableGrid">
    <w:name w:val="Table Grid"/>
    <w:basedOn w:val="TableNormal"/>
    <w:uiPriority w:val="39"/>
    <w:rsid w:val="00950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907CA"/>
    <w:pPr>
      <w:spacing w:after="0" w:line="240" w:lineRule="auto"/>
    </w:pPr>
  </w:style>
  <w:style w:type="character" w:styleId="CommentReference">
    <w:name w:val="annotation reference"/>
    <w:basedOn w:val="DefaultParagraphFont"/>
    <w:uiPriority w:val="99"/>
    <w:semiHidden/>
    <w:unhideWhenUsed/>
    <w:rsid w:val="00787883"/>
    <w:rPr>
      <w:sz w:val="16"/>
      <w:szCs w:val="16"/>
    </w:rPr>
  </w:style>
  <w:style w:type="paragraph" w:styleId="CommentText">
    <w:name w:val="annotation text"/>
    <w:basedOn w:val="Normal"/>
    <w:link w:val="CommentTextChar"/>
    <w:uiPriority w:val="99"/>
    <w:unhideWhenUsed/>
    <w:rsid w:val="00787883"/>
    <w:pPr>
      <w:spacing w:line="240" w:lineRule="auto"/>
    </w:pPr>
    <w:rPr>
      <w:sz w:val="20"/>
      <w:szCs w:val="20"/>
    </w:rPr>
  </w:style>
  <w:style w:type="character" w:customStyle="1" w:styleId="CommentTextChar">
    <w:name w:val="Comment Text Char"/>
    <w:basedOn w:val="DefaultParagraphFont"/>
    <w:link w:val="CommentText"/>
    <w:uiPriority w:val="99"/>
    <w:rsid w:val="00787883"/>
    <w:rPr>
      <w:sz w:val="20"/>
      <w:szCs w:val="20"/>
    </w:rPr>
  </w:style>
  <w:style w:type="paragraph" w:styleId="CommentSubject">
    <w:name w:val="annotation subject"/>
    <w:basedOn w:val="CommentText"/>
    <w:next w:val="CommentText"/>
    <w:link w:val="CommentSubjectChar"/>
    <w:uiPriority w:val="99"/>
    <w:semiHidden/>
    <w:unhideWhenUsed/>
    <w:rsid w:val="00787883"/>
    <w:rPr>
      <w:b/>
      <w:bCs/>
    </w:rPr>
  </w:style>
  <w:style w:type="character" w:customStyle="1" w:styleId="CommentSubjectChar">
    <w:name w:val="Comment Subject Char"/>
    <w:basedOn w:val="CommentTextChar"/>
    <w:link w:val="CommentSubject"/>
    <w:uiPriority w:val="99"/>
    <w:semiHidden/>
    <w:rsid w:val="00787883"/>
    <w:rPr>
      <w:b/>
      <w:bCs/>
      <w:sz w:val="20"/>
      <w:szCs w:val="20"/>
    </w:rPr>
  </w:style>
  <w:style w:type="character" w:customStyle="1" w:styleId="UnresolvedMention1">
    <w:name w:val="Unresolved Mention1"/>
    <w:basedOn w:val="DefaultParagraphFont"/>
    <w:uiPriority w:val="99"/>
    <w:semiHidden/>
    <w:unhideWhenUsed/>
    <w:rsid w:val="009F4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787913">
      <w:bodyDiv w:val="1"/>
      <w:marLeft w:val="0"/>
      <w:marRight w:val="0"/>
      <w:marTop w:val="0"/>
      <w:marBottom w:val="0"/>
      <w:divBdr>
        <w:top w:val="none" w:sz="0" w:space="0" w:color="auto"/>
        <w:left w:val="none" w:sz="0" w:space="0" w:color="auto"/>
        <w:bottom w:val="none" w:sz="0" w:space="0" w:color="auto"/>
        <w:right w:val="none" w:sz="0" w:space="0" w:color="auto"/>
      </w:divBdr>
    </w:div>
    <w:div w:id="331225914">
      <w:bodyDiv w:val="1"/>
      <w:marLeft w:val="0"/>
      <w:marRight w:val="0"/>
      <w:marTop w:val="0"/>
      <w:marBottom w:val="0"/>
      <w:divBdr>
        <w:top w:val="none" w:sz="0" w:space="0" w:color="auto"/>
        <w:left w:val="none" w:sz="0" w:space="0" w:color="auto"/>
        <w:bottom w:val="none" w:sz="0" w:space="0" w:color="auto"/>
        <w:right w:val="none" w:sz="0" w:space="0" w:color="auto"/>
      </w:divBdr>
    </w:div>
    <w:div w:id="402218993">
      <w:bodyDiv w:val="1"/>
      <w:marLeft w:val="0"/>
      <w:marRight w:val="0"/>
      <w:marTop w:val="0"/>
      <w:marBottom w:val="0"/>
      <w:divBdr>
        <w:top w:val="none" w:sz="0" w:space="0" w:color="auto"/>
        <w:left w:val="none" w:sz="0" w:space="0" w:color="auto"/>
        <w:bottom w:val="none" w:sz="0" w:space="0" w:color="auto"/>
        <w:right w:val="none" w:sz="0" w:space="0" w:color="auto"/>
      </w:divBdr>
    </w:div>
    <w:div w:id="524831045">
      <w:bodyDiv w:val="1"/>
      <w:marLeft w:val="0"/>
      <w:marRight w:val="0"/>
      <w:marTop w:val="0"/>
      <w:marBottom w:val="0"/>
      <w:divBdr>
        <w:top w:val="none" w:sz="0" w:space="0" w:color="auto"/>
        <w:left w:val="none" w:sz="0" w:space="0" w:color="auto"/>
        <w:bottom w:val="none" w:sz="0" w:space="0" w:color="auto"/>
        <w:right w:val="none" w:sz="0" w:space="0" w:color="auto"/>
      </w:divBdr>
      <w:divsChild>
        <w:div w:id="375853001">
          <w:marLeft w:val="821"/>
          <w:marRight w:val="0"/>
          <w:marTop w:val="96"/>
          <w:marBottom w:val="0"/>
          <w:divBdr>
            <w:top w:val="none" w:sz="0" w:space="0" w:color="auto"/>
            <w:left w:val="none" w:sz="0" w:space="0" w:color="auto"/>
            <w:bottom w:val="none" w:sz="0" w:space="0" w:color="auto"/>
            <w:right w:val="none" w:sz="0" w:space="0" w:color="auto"/>
          </w:divBdr>
        </w:div>
        <w:div w:id="816722633">
          <w:marLeft w:val="821"/>
          <w:marRight w:val="0"/>
          <w:marTop w:val="96"/>
          <w:marBottom w:val="0"/>
          <w:divBdr>
            <w:top w:val="none" w:sz="0" w:space="0" w:color="auto"/>
            <w:left w:val="none" w:sz="0" w:space="0" w:color="auto"/>
            <w:bottom w:val="none" w:sz="0" w:space="0" w:color="auto"/>
            <w:right w:val="none" w:sz="0" w:space="0" w:color="auto"/>
          </w:divBdr>
        </w:div>
        <w:div w:id="700126729">
          <w:marLeft w:val="821"/>
          <w:marRight w:val="0"/>
          <w:marTop w:val="96"/>
          <w:marBottom w:val="0"/>
          <w:divBdr>
            <w:top w:val="none" w:sz="0" w:space="0" w:color="auto"/>
            <w:left w:val="none" w:sz="0" w:space="0" w:color="auto"/>
            <w:bottom w:val="none" w:sz="0" w:space="0" w:color="auto"/>
            <w:right w:val="none" w:sz="0" w:space="0" w:color="auto"/>
          </w:divBdr>
        </w:div>
        <w:div w:id="712777474">
          <w:marLeft w:val="821"/>
          <w:marRight w:val="0"/>
          <w:marTop w:val="96"/>
          <w:marBottom w:val="0"/>
          <w:divBdr>
            <w:top w:val="none" w:sz="0" w:space="0" w:color="auto"/>
            <w:left w:val="none" w:sz="0" w:space="0" w:color="auto"/>
            <w:bottom w:val="none" w:sz="0" w:space="0" w:color="auto"/>
            <w:right w:val="none" w:sz="0" w:space="0" w:color="auto"/>
          </w:divBdr>
        </w:div>
      </w:divsChild>
    </w:div>
    <w:div w:id="663554865">
      <w:bodyDiv w:val="1"/>
      <w:marLeft w:val="0"/>
      <w:marRight w:val="0"/>
      <w:marTop w:val="0"/>
      <w:marBottom w:val="0"/>
      <w:divBdr>
        <w:top w:val="none" w:sz="0" w:space="0" w:color="auto"/>
        <w:left w:val="none" w:sz="0" w:space="0" w:color="auto"/>
        <w:bottom w:val="none" w:sz="0" w:space="0" w:color="auto"/>
        <w:right w:val="none" w:sz="0" w:space="0" w:color="auto"/>
      </w:divBdr>
    </w:div>
    <w:div w:id="1060328162">
      <w:bodyDiv w:val="1"/>
      <w:marLeft w:val="0"/>
      <w:marRight w:val="0"/>
      <w:marTop w:val="0"/>
      <w:marBottom w:val="0"/>
      <w:divBdr>
        <w:top w:val="none" w:sz="0" w:space="0" w:color="auto"/>
        <w:left w:val="none" w:sz="0" w:space="0" w:color="auto"/>
        <w:bottom w:val="none" w:sz="0" w:space="0" w:color="auto"/>
        <w:right w:val="none" w:sz="0" w:space="0" w:color="auto"/>
      </w:divBdr>
      <w:divsChild>
        <w:div w:id="434862149">
          <w:marLeft w:val="1382"/>
          <w:marRight w:val="0"/>
          <w:marTop w:val="115"/>
          <w:marBottom w:val="0"/>
          <w:divBdr>
            <w:top w:val="none" w:sz="0" w:space="0" w:color="auto"/>
            <w:left w:val="none" w:sz="0" w:space="0" w:color="auto"/>
            <w:bottom w:val="none" w:sz="0" w:space="0" w:color="auto"/>
            <w:right w:val="none" w:sz="0" w:space="0" w:color="auto"/>
          </w:divBdr>
        </w:div>
        <w:div w:id="1639460008">
          <w:marLeft w:val="1382"/>
          <w:marRight w:val="0"/>
          <w:marTop w:val="115"/>
          <w:marBottom w:val="0"/>
          <w:divBdr>
            <w:top w:val="none" w:sz="0" w:space="0" w:color="auto"/>
            <w:left w:val="none" w:sz="0" w:space="0" w:color="auto"/>
            <w:bottom w:val="none" w:sz="0" w:space="0" w:color="auto"/>
            <w:right w:val="none" w:sz="0" w:space="0" w:color="auto"/>
          </w:divBdr>
        </w:div>
        <w:div w:id="1183518659">
          <w:marLeft w:val="1382"/>
          <w:marRight w:val="0"/>
          <w:marTop w:val="115"/>
          <w:marBottom w:val="0"/>
          <w:divBdr>
            <w:top w:val="none" w:sz="0" w:space="0" w:color="auto"/>
            <w:left w:val="none" w:sz="0" w:space="0" w:color="auto"/>
            <w:bottom w:val="none" w:sz="0" w:space="0" w:color="auto"/>
            <w:right w:val="none" w:sz="0" w:space="0" w:color="auto"/>
          </w:divBdr>
        </w:div>
        <w:div w:id="276912679">
          <w:marLeft w:val="1382"/>
          <w:marRight w:val="0"/>
          <w:marTop w:val="115"/>
          <w:marBottom w:val="0"/>
          <w:divBdr>
            <w:top w:val="none" w:sz="0" w:space="0" w:color="auto"/>
            <w:left w:val="none" w:sz="0" w:space="0" w:color="auto"/>
            <w:bottom w:val="none" w:sz="0" w:space="0" w:color="auto"/>
            <w:right w:val="none" w:sz="0" w:space="0" w:color="auto"/>
          </w:divBdr>
        </w:div>
        <w:div w:id="301930419">
          <w:marLeft w:val="1382"/>
          <w:marRight w:val="0"/>
          <w:marTop w:val="115"/>
          <w:marBottom w:val="0"/>
          <w:divBdr>
            <w:top w:val="none" w:sz="0" w:space="0" w:color="auto"/>
            <w:left w:val="none" w:sz="0" w:space="0" w:color="auto"/>
            <w:bottom w:val="none" w:sz="0" w:space="0" w:color="auto"/>
            <w:right w:val="none" w:sz="0" w:space="0" w:color="auto"/>
          </w:divBdr>
        </w:div>
      </w:divsChild>
    </w:div>
    <w:div w:id="1244142924">
      <w:bodyDiv w:val="1"/>
      <w:marLeft w:val="0"/>
      <w:marRight w:val="0"/>
      <w:marTop w:val="0"/>
      <w:marBottom w:val="0"/>
      <w:divBdr>
        <w:top w:val="none" w:sz="0" w:space="0" w:color="auto"/>
        <w:left w:val="none" w:sz="0" w:space="0" w:color="auto"/>
        <w:bottom w:val="none" w:sz="0" w:space="0" w:color="auto"/>
        <w:right w:val="none" w:sz="0" w:space="0" w:color="auto"/>
      </w:divBdr>
    </w:div>
    <w:div w:id="1362244532">
      <w:bodyDiv w:val="1"/>
      <w:marLeft w:val="0"/>
      <w:marRight w:val="0"/>
      <w:marTop w:val="0"/>
      <w:marBottom w:val="0"/>
      <w:divBdr>
        <w:top w:val="none" w:sz="0" w:space="0" w:color="auto"/>
        <w:left w:val="none" w:sz="0" w:space="0" w:color="auto"/>
        <w:bottom w:val="none" w:sz="0" w:space="0" w:color="auto"/>
        <w:right w:val="none" w:sz="0" w:space="0" w:color="auto"/>
      </w:divBdr>
    </w:div>
    <w:div w:id="1410734045">
      <w:bodyDiv w:val="1"/>
      <w:marLeft w:val="0"/>
      <w:marRight w:val="0"/>
      <w:marTop w:val="0"/>
      <w:marBottom w:val="0"/>
      <w:divBdr>
        <w:top w:val="none" w:sz="0" w:space="0" w:color="auto"/>
        <w:left w:val="none" w:sz="0" w:space="0" w:color="auto"/>
        <w:bottom w:val="none" w:sz="0" w:space="0" w:color="auto"/>
        <w:right w:val="none" w:sz="0" w:space="0" w:color="auto"/>
      </w:divBdr>
      <w:divsChild>
        <w:div w:id="532108708">
          <w:marLeft w:val="547"/>
          <w:marRight w:val="0"/>
          <w:marTop w:val="0"/>
          <w:marBottom w:val="0"/>
          <w:divBdr>
            <w:top w:val="none" w:sz="0" w:space="0" w:color="auto"/>
            <w:left w:val="none" w:sz="0" w:space="0" w:color="auto"/>
            <w:bottom w:val="none" w:sz="0" w:space="0" w:color="auto"/>
            <w:right w:val="none" w:sz="0" w:space="0" w:color="auto"/>
          </w:divBdr>
        </w:div>
        <w:div w:id="538469242">
          <w:marLeft w:val="547"/>
          <w:marRight w:val="0"/>
          <w:marTop w:val="0"/>
          <w:marBottom w:val="0"/>
          <w:divBdr>
            <w:top w:val="none" w:sz="0" w:space="0" w:color="auto"/>
            <w:left w:val="none" w:sz="0" w:space="0" w:color="auto"/>
            <w:bottom w:val="none" w:sz="0" w:space="0" w:color="auto"/>
            <w:right w:val="none" w:sz="0" w:space="0" w:color="auto"/>
          </w:divBdr>
        </w:div>
      </w:divsChild>
    </w:div>
    <w:div w:id="1607037516">
      <w:bodyDiv w:val="1"/>
      <w:marLeft w:val="0"/>
      <w:marRight w:val="0"/>
      <w:marTop w:val="0"/>
      <w:marBottom w:val="0"/>
      <w:divBdr>
        <w:top w:val="none" w:sz="0" w:space="0" w:color="auto"/>
        <w:left w:val="none" w:sz="0" w:space="0" w:color="auto"/>
        <w:bottom w:val="none" w:sz="0" w:space="0" w:color="auto"/>
        <w:right w:val="none" w:sz="0" w:space="0" w:color="auto"/>
      </w:divBdr>
    </w:div>
    <w:div w:id="1780681435">
      <w:bodyDiv w:val="1"/>
      <w:marLeft w:val="0"/>
      <w:marRight w:val="0"/>
      <w:marTop w:val="0"/>
      <w:marBottom w:val="0"/>
      <w:divBdr>
        <w:top w:val="none" w:sz="0" w:space="0" w:color="auto"/>
        <w:left w:val="none" w:sz="0" w:space="0" w:color="auto"/>
        <w:bottom w:val="none" w:sz="0" w:space="0" w:color="auto"/>
        <w:right w:val="none" w:sz="0" w:space="0" w:color="auto"/>
      </w:divBdr>
      <w:divsChild>
        <w:div w:id="66929368">
          <w:marLeft w:val="850"/>
          <w:marRight w:val="0"/>
          <w:marTop w:val="106"/>
          <w:marBottom w:val="0"/>
          <w:divBdr>
            <w:top w:val="none" w:sz="0" w:space="0" w:color="auto"/>
            <w:left w:val="none" w:sz="0" w:space="0" w:color="auto"/>
            <w:bottom w:val="none" w:sz="0" w:space="0" w:color="auto"/>
            <w:right w:val="none" w:sz="0" w:space="0" w:color="auto"/>
          </w:divBdr>
        </w:div>
      </w:divsChild>
    </w:div>
    <w:div w:id="1879394033">
      <w:bodyDiv w:val="1"/>
      <w:marLeft w:val="0"/>
      <w:marRight w:val="0"/>
      <w:marTop w:val="0"/>
      <w:marBottom w:val="0"/>
      <w:divBdr>
        <w:top w:val="none" w:sz="0" w:space="0" w:color="auto"/>
        <w:left w:val="none" w:sz="0" w:space="0" w:color="auto"/>
        <w:bottom w:val="none" w:sz="0" w:space="0" w:color="auto"/>
        <w:right w:val="none" w:sz="0" w:space="0" w:color="auto"/>
      </w:divBdr>
    </w:div>
    <w:div w:id="1956058392">
      <w:bodyDiv w:val="1"/>
      <w:marLeft w:val="0"/>
      <w:marRight w:val="0"/>
      <w:marTop w:val="0"/>
      <w:marBottom w:val="0"/>
      <w:divBdr>
        <w:top w:val="none" w:sz="0" w:space="0" w:color="auto"/>
        <w:left w:val="none" w:sz="0" w:space="0" w:color="auto"/>
        <w:bottom w:val="none" w:sz="0" w:space="0" w:color="auto"/>
        <w:right w:val="none" w:sz="0" w:space="0" w:color="auto"/>
      </w:divBdr>
    </w:div>
    <w:div w:id="2000036974">
      <w:bodyDiv w:val="1"/>
      <w:marLeft w:val="0"/>
      <w:marRight w:val="0"/>
      <w:marTop w:val="0"/>
      <w:marBottom w:val="0"/>
      <w:divBdr>
        <w:top w:val="none" w:sz="0" w:space="0" w:color="auto"/>
        <w:left w:val="none" w:sz="0" w:space="0" w:color="auto"/>
        <w:bottom w:val="none" w:sz="0" w:space="0" w:color="auto"/>
        <w:right w:val="none" w:sz="0" w:space="0" w:color="auto"/>
      </w:divBdr>
      <w:divsChild>
        <w:div w:id="729617432">
          <w:marLeft w:val="547"/>
          <w:marRight w:val="0"/>
          <w:marTop w:val="106"/>
          <w:marBottom w:val="0"/>
          <w:divBdr>
            <w:top w:val="none" w:sz="0" w:space="0" w:color="auto"/>
            <w:left w:val="none" w:sz="0" w:space="0" w:color="auto"/>
            <w:bottom w:val="none" w:sz="0" w:space="0" w:color="auto"/>
            <w:right w:val="none" w:sz="0" w:space="0" w:color="auto"/>
          </w:divBdr>
        </w:div>
      </w:divsChild>
    </w:div>
    <w:div w:id="2136095087">
      <w:bodyDiv w:val="1"/>
      <w:marLeft w:val="0"/>
      <w:marRight w:val="0"/>
      <w:marTop w:val="0"/>
      <w:marBottom w:val="0"/>
      <w:divBdr>
        <w:top w:val="none" w:sz="0" w:space="0" w:color="auto"/>
        <w:left w:val="none" w:sz="0" w:space="0" w:color="auto"/>
        <w:bottom w:val="none" w:sz="0" w:space="0" w:color="auto"/>
        <w:right w:val="none" w:sz="0" w:space="0" w:color="auto"/>
      </w:divBdr>
      <w:divsChild>
        <w:div w:id="1363357849">
          <w:marLeft w:val="547"/>
          <w:marRight w:val="0"/>
          <w:marTop w:val="110"/>
          <w:marBottom w:val="0"/>
          <w:divBdr>
            <w:top w:val="none" w:sz="0" w:space="0" w:color="auto"/>
            <w:left w:val="none" w:sz="0" w:space="0" w:color="auto"/>
            <w:bottom w:val="none" w:sz="0" w:space="0" w:color="auto"/>
            <w:right w:val="none" w:sz="0" w:space="0" w:color="auto"/>
          </w:divBdr>
        </w:div>
        <w:div w:id="19357170">
          <w:marLeft w:val="547"/>
          <w:marRight w:val="0"/>
          <w:marTop w:val="110"/>
          <w:marBottom w:val="0"/>
          <w:divBdr>
            <w:top w:val="none" w:sz="0" w:space="0" w:color="auto"/>
            <w:left w:val="none" w:sz="0" w:space="0" w:color="auto"/>
            <w:bottom w:val="none" w:sz="0" w:space="0" w:color="auto"/>
            <w:right w:val="none" w:sz="0" w:space="0" w:color="auto"/>
          </w:divBdr>
        </w:div>
        <w:div w:id="799108701">
          <w:marLeft w:val="547"/>
          <w:marRight w:val="0"/>
          <w:marTop w:val="110"/>
          <w:marBottom w:val="0"/>
          <w:divBdr>
            <w:top w:val="none" w:sz="0" w:space="0" w:color="auto"/>
            <w:left w:val="none" w:sz="0" w:space="0" w:color="auto"/>
            <w:bottom w:val="none" w:sz="0" w:space="0" w:color="auto"/>
            <w:right w:val="none" w:sz="0" w:space="0" w:color="auto"/>
          </w:divBdr>
        </w:div>
        <w:div w:id="986395545">
          <w:marLeft w:val="547"/>
          <w:marRight w:val="0"/>
          <w:marTop w:val="11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emeljski-plin.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um xmlns="f1484ad3-a4de-428f-a50b-71db7c5480cf" xsi:nil="true"/>
    <lcf76f155ced4ddcb4097134ff3c332f xmlns="f1484ad3-a4de-428f-a50b-71db7c5480cf">
      <Terms xmlns="http://schemas.microsoft.com/office/infopath/2007/PartnerControls"/>
    </lcf76f155ced4ddcb4097134ff3c332f>
    <TaxCatchAll xmlns="74cd7ce8-eb1c-4176-9f73-3c7432ea4c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808E22D812BB5429516F25F8E253222" ma:contentTypeVersion="19" ma:contentTypeDescription="Ustvari nov dokument." ma:contentTypeScope="" ma:versionID="774d62b2c7374658c7d6b5156922fc9e">
  <xsd:schema xmlns:xsd="http://www.w3.org/2001/XMLSchema" xmlns:xs="http://www.w3.org/2001/XMLSchema" xmlns:p="http://schemas.microsoft.com/office/2006/metadata/properties" xmlns:ns2="f1484ad3-a4de-428f-a50b-71db7c5480cf" xmlns:ns3="74cd7ce8-eb1c-4176-9f73-3c7432ea4c47" targetNamespace="http://schemas.microsoft.com/office/2006/metadata/properties" ma:root="true" ma:fieldsID="4a50d2ed069c8b26fb67498a6821a5d1" ns2:_="" ns3:_="">
    <xsd:import namespace="f1484ad3-a4de-428f-a50b-71db7c5480cf"/>
    <xsd:import namespace="74cd7ce8-eb1c-4176-9f73-3c7432ea4c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datum"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84ad3-a4de-428f-a50b-71db7c5480c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um" ma:index="20" nillable="true" ma:displayName="datum" ma:format="DateOnly" ma:internalName="datum">
      <xsd:simpleType>
        <xsd:restriction base="dms:DateTime"/>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05ff041-dbb3-4ad1-9027-289513196728"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cd7ce8-eb1c-4176-9f73-3c7432ea4c47" elementFormDefault="qualified">
    <xsd:import namespace="http://schemas.microsoft.com/office/2006/documentManagement/types"/>
    <xsd:import namespace="http://schemas.microsoft.com/office/infopath/2007/PartnerControls"/>
    <xsd:element name="SharedWithUsers" ma:index="11"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description="" ma:internalName="SharedWithDetails" ma:readOnly="true">
      <xsd:simpleType>
        <xsd:restriction base="dms:Note">
          <xsd:maxLength value="255"/>
        </xsd:restriction>
      </xsd:simpleType>
    </xsd:element>
    <xsd:element name="TaxCatchAll" ma:index="23" nillable="true" ma:displayName="Taxonomy Catch All Column" ma:hidden="true" ma:list="{26717933-af9c-443c-8283-2610c5340528}" ma:internalName="TaxCatchAll" ma:showField="CatchAllData" ma:web="74cd7ce8-eb1c-4176-9f73-3c7432ea4c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CFFC667-494E-448F-9531-52C5B5695D58}">
  <ds:schemaRefs>
    <ds:schemaRef ds:uri="http://schemas.openxmlformats.org/package/2006/metadata/core-properties"/>
    <ds:schemaRef ds:uri="http://schemas.microsoft.com/office/2006/documentManagement/types"/>
    <ds:schemaRef ds:uri="http://schemas.microsoft.com/office/2006/metadata/properties"/>
    <ds:schemaRef ds:uri="f1484ad3-a4de-428f-a50b-71db7c5480cf"/>
    <ds:schemaRef ds:uri="http://purl.org/dc/elements/1.1/"/>
    <ds:schemaRef ds:uri="http://schemas.microsoft.com/office/infopath/2007/PartnerControls"/>
    <ds:schemaRef ds:uri="http://purl.org/dc/terms/"/>
    <ds:schemaRef ds:uri="74cd7ce8-eb1c-4176-9f73-3c7432ea4c47"/>
    <ds:schemaRef ds:uri="http://www.w3.org/XML/1998/namespace"/>
    <ds:schemaRef ds:uri="http://purl.org/dc/dcmitype/"/>
  </ds:schemaRefs>
</ds:datastoreItem>
</file>

<file path=customXml/itemProps2.xml><?xml version="1.0" encoding="utf-8"?>
<ds:datastoreItem xmlns:ds="http://schemas.openxmlformats.org/officeDocument/2006/customXml" ds:itemID="{2097CFFA-C1CC-4E77-B709-F33606F29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84ad3-a4de-428f-a50b-71db7c5480cf"/>
    <ds:schemaRef ds:uri="74cd7ce8-eb1c-4176-9f73-3c7432ea4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90859-B6CA-4115-B9FC-94A2B21FF955}">
  <ds:schemaRefs>
    <ds:schemaRef ds:uri="http://schemas.microsoft.com/sharepoint/v3/contenttype/forms"/>
  </ds:schemaRefs>
</ds:datastoreItem>
</file>

<file path=customXml/itemProps4.xml><?xml version="1.0" encoding="utf-8"?>
<ds:datastoreItem xmlns:ds="http://schemas.openxmlformats.org/officeDocument/2006/customXml" ds:itemID="{A23FF828-4052-4D19-982D-1284532AA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3402</Words>
  <Characters>19397</Characters>
  <Application>Microsoft Office Word</Application>
  <DocSecurity>0</DocSecurity>
  <Lines>161</Lines>
  <Paragraphs>45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Darinka Pek Drapal</dc:creator>
  <cp:keywords/>
  <dc:description/>
  <cp:lastModifiedBy>Darinka Pek Drapal</cp:lastModifiedBy>
  <cp:revision>2</cp:revision>
  <cp:lastPrinted>2024-04-08T08:11:00Z</cp:lastPrinted>
  <dcterms:created xsi:type="dcterms:W3CDTF">2024-05-07T10:27:00Z</dcterms:created>
  <dcterms:modified xsi:type="dcterms:W3CDTF">2024-05-07T10:27:00Z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0x0101009808E22D812BB5429516F25F8E253222</vt:lpwstr>
  </property>
  <property fmtid="{D5CDD505-2E9C-101B-9397-08002B2CF9AE}" pid="3" name="MediaServiceImageTags">
    <vt:lpwstr/>
  </property>
</Properties>
</file>